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大厂回族自治县</w:t>
      </w:r>
      <w:r>
        <w:rPr>
          <w:rFonts w:hint="eastAsia" w:ascii="Times New Roman" w:hAnsi="Times New Roman" w:eastAsia="方正小标宋简体" w:cs="Times New Roman"/>
          <w:sz w:val="44"/>
          <w:szCs w:val="44"/>
          <w:lang w:eastAsia="zh-CN"/>
        </w:rPr>
        <w:t>图书馆</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560" w:firstLineChars="200"/>
        <w:rPr>
          <w:rFonts w:ascii="仿宋" w:hAnsi="仿宋" w:eastAsia="仿宋" w:cs="Times New Roman"/>
          <w:sz w:val="32"/>
          <w:szCs w:val="32"/>
        </w:rPr>
      </w:pPr>
      <w:r>
        <w:rPr>
          <w:rFonts w:eastAsia="方正仿宋_GBK"/>
          <w:color w:val="000000"/>
          <w:sz w:val="28"/>
        </w:rPr>
        <w:t>按照《</w:t>
      </w:r>
      <w:r>
        <w:rPr>
          <w:rFonts w:hint="eastAsia" w:eastAsia="方正仿宋_GBK"/>
          <w:color w:val="000000"/>
          <w:sz w:val="28"/>
          <w:lang w:eastAsia="zh-CN"/>
        </w:rPr>
        <w:t>中华人民共和国</w:t>
      </w:r>
      <w:r>
        <w:rPr>
          <w:rFonts w:eastAsia="方正仿宋_GBK"/>
          <w:color w:val="000000"/>
          <w:sz w:val="28"/>
        </w:rPr>
        <w:t>预算法》、《地方预决算公开操作规程》和《关于进一步推进预算公开工作的实施意见》规定，现将大厂回族自治县图书馆2022年单位预算公开如下：</w:t>
      </w:r>
      <w:r>
        <w:rPr>
          <w:rFonts w:ascii="仿宋" w:hAnsi="仿宋" w:eastAsia="仿宋" w:cs="Times New Roman"/>
          <w:sz w:val="32"/>
          <w:szCs w:val="32"/>
        </w:rPr>
        <w:t>：</w:t>
      </w:r>
    </w:p>
    <w:p>
      <w:pPr>
        <w:spacing w:line="584" w:lineRule="exact"/>
        <w:ind w:firstLine="640" w:firstLineChars="200"/>
        <w:rPr>
          <w:rFonts w:ascii="黑体" w:hAnsi="黑体" w:eastAsia="黑体" w:cs="Times New Roman"/>
          <w:sz w:val="32"/>
          <w:szCs w:val="32"/>
        </w:rPr>
      </w:pPr>
      <w:r>
        <w:rPr>
          <w:rFonts w:ascii="黑体" w:hAnsi="黑体" w:eastAsia="黑体" w:cs="Times New Roman"/>
          <w:sz w:val="32"/>
          <w:szCs w:val="32"/>
        </w:rPr>
        <w:t>一、</w:t>
      </w:r>
      <w:r>
        <w:rPr>
          <w:rFonts w:hint="eastAsia" w:ascii="黑体" w:hAnsi="黑体" w:eastAsia="黑体" w:cs="Times New Roman"/>
          <w:sz w:val="32"/>
          <w:szCs w:val="32"/>
          <w:lang w:eastAsia="zh-CN"/>
        </w:rPr>
        <w:t>单位</w:t>
      </w:r>
      <w:r>
        <w:rPr>
          <w:rFonts w:ascii="黑体" w:hAnsi="黑体" w:eastAsia="黑体" w:cs="Times New Roman"/>
          <w:sz w:val="32"/>
          <w:szCs w:val="32"/>
        </w:rPr>
        <w:t>职责及机构设置情况</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部门职责：</w:t>
      </w:r>
    </w:p>
    <w:p>
      <w:pPr>
        <w:ind w:firstLine="640" w:firstLineChars="200"/>
        <w:rPr>
          <w:rFonts w:hint="eastAsia" w:ascii="仿宋" w:hAnsi="仿宋" w:eastAsia="仿宋"/>
          <w:sz w:val="32"/>
          <w:szCs w:val="32"/>
        </w:rPr>
      </w:pPr>
      <w:r>
        <w:rPr>
          <w:rFonts w:hint="eastAsia" w:ascii="仿宋" w:hAnsi="仿宋" w:eastAsia="仿宋"/>
          <w:sz w:val="32"/>
          <w:szCs w:val="32"/>
        </w:rPr>
        <w:t>1、丰富全县人民群众文化生活，普及科学知识，保存文化遗产，传递科学信息，开发智力资源，提高公民文化素质。</w:t>
      </w:r>
    </w:p>
    <w:p>
      <w:pPr>
        <w:ind w:firstLine="640" w:firstLineChars="200"/>
        <w:rPr>
          <w:rFonts w:hint="eastAsia" w:ascii="仿宋" w:hAnsi="仿宋" w:eastAsia="仿宋"/>
          <w:sz w:val="32"/>
          <w:szCs w:val="32"/>
        </w:rPr>
      </w:pPr>
      <w:r>
        <w:rPr>
          <w:rFonts w:hint="eastAsia" w:ascii="仿宋" w:hAnsi="仿宋" w:eastAsia="仿宋"/>
          <w:sz w:val="32"/>
          <w:szCs w:val="32"/>
        </w:rPr>
        <w:t>2、举办各类展览、讲座、培训等，开展社会教育，发挥“城市书房”功能，促进当地精神文明建设。</w:t>
      </w:r>
    </w:p>
    <w:p>
      <w:pPr>
        <w:ind w:firstLine="640" w:firstLineChars="200"/>
        <w:rPr>
          <w:rFonts w:hint="eastAsia" w:ascii="仿宋" w:hAnsi="仿宋" w:eastAsia="仿宋"/>
          <w:sz w:val="32"/>
          <w:szCs w:val="32"/>
        </w:rPr>
      </w:pPr>
      <w:r>
        <w:rPr>
          <w:rFonts w:hint="eastAsia" w:ascii="仿宋" w:hAnsi="仿宋" w:eastAsia="仿宋"/>
          <w:sz w:val="32"/>
          <w:szCs w:val="32"/>
        </w:rPr>
        <w:t>3、落实相关法律法规;执行免费开放政策;优化窗口服务，不断加强馆藏资源建设，满足不同读者的阅读需求。</w:t>
      </w:r>
    </w:p>
    <w:p>
      <w:pPr>
        <w:ind w:firstLine="640" w:firstLineChars="200"/>
        <w:rPr>
          <w:rFonts w:hint="eastAsia" w:ascii="仿宋" w:hAnsi="仿宋" w:eastAsia="仿宋"/>
          <w:sz w:val="32"/>
          <w:szCs w:val="32"/>
        </w:rPr>
      </w:pPr>
      <w:r>
        <w:rPr>
          <w:rFonts w:hint="eastAsia" w:ascii="仿宋" w:hAnsi="仿宋" w:eastAsia="仿宋"/>
          <w:sz w:val="32"/>
          <w:szCs w:val="32"/>
        </w:rPr>
        <w:t>4、组织开展丰富多彩的主题读书活动;开展流动下基层服务;指导农家书屋建设;辅导和培训基层图书室业务骨干。</w:t>
      </w:r>
    </w:p>
    <w:p>
      <w:pPr>
        <w:ind w:firstLine="640" w:firstLineChars="200"/>
        <w:rPr>
          <w:rFonts w:hint="eastAsia" w:ascii="仿宋" w:hAnsi="仿宋" w:eastAsia="仿宋"/>
          <w:sz w:val="32"/>
          <w:szCs w:val="32"/>
        </w:rPr>
      </w:pPr>
      <w:r>
        <w:rPr>
          <w:rFonts w:hint="eastAsia" w:ascii="仿宋" w:hAnsi="仿宋" w:eastAsia="仿宋"/>
          <w:sz w:val="32"/>
          <w:szCs w:val="32"/>
        </w:rPr>
        <w:t>5、组织并指导社会读书会工作，促进全民阅读活动的开展。</w:t>
      </w:r>
    </w:p>
    <w:p>
      <w:pPr>
        <w:ind w:firstLine="640" w:firstLineChars="200"/>
        <w:rPr>
          <w:rFonts w:hint="eastAsia" w:ascii="仿宋" w:hAnsi="仿宋" w:eastAsia="仿宋"/>
          <w:sz w:val="32"/>
          <w:szCs w:val="32"/>
        </w:rPr>
      </w:pPr>
      <w:r>
        <w:rPr>
          <w:rFonts w:hint="eastAsia" w:ascii="仿宋" w:hAnsi="仿宋" w:eastAsia="仿宋"/>
          <w:sz w:val="32"/>
          <w:szCs w:val="32"/>
        </w:rPr>
        <w:t>6、以县数字图书馆即县级支中心为依托，以五镇文化站、村基层站点为网络的共享工程服务体系，定期推送文化资源，开展数字文化信息服务。</w:t>
      </w:r>
    </w:p>
    <w:p>
      <w:pPr>
        <w:ind w:firstLine="640" w:firstLineChars="200"/>
        <w:rPr>
          <w:rFonts w:ascii="仿宋" w:hAnsi="仿宋" w:eastAsia="仿宋"/>
          <w:sz w:val="32"/>
          <w:szCs w:val="32"/>
        </w:rPr>
      </w:pPr>
      <w:r>
        <w:rPr>
          <w:rFonts w:hint="eastAsia" w:ascii="仿宋" w:hAnsi="仿宋" w:eastAsia="仿宋"/>
          <w:sz w:val="32"/>
          <w:szCs w:val="32"/>
        </w:rPr>
        <w:t>7、为读者提供自由交流空间，为我县的社会活动提供场地为本地区社会发展做贡献。</w:t>
      </w:r>
    </w:p>
    <w:p>
      <w:pPr>
        <w:spacing w:line="584" w:lineRule="exact"/>
        <w:ind w:firstLine="643" w:firstLineChars="200"/>
        <w:rPr>
          <w:rFonts w:ascii="楷体" w:hAnsi="楷体" w:eastAsia="楷体" w:cs="Times New Roman"/>
          <w:b/>
          <w:sz w:val="32"/>
          <w:szCs w:val="32"/>
        </w:rPr>
      </w:pPr>
      <w:r>
        <w:rPr>
          <w:rFonts w:ascii="楷体" w:hAnsi="楷体" w:eastAsia="楷体" w:cs="Times New Roman"/>
          <w:b/>
          <w:sz w:val="32"/>
          <w:szCs w:val="32"/>
        </w:rPr>
        <w:t>机构设置：</w:t>
      </w:r>
    </w:p>
    <w:p>
      <w:pPr>
        <w:spacing w:line="584" w:lineRule="exact"/>
        <w:jc w:val="center"/>
        <w:outlineLvl w:val="0"/>
        <w:rPr>
          <w:rFonts w:ascii="仿宋" w:hAnsi="仿宋" w:eastAsia="仿宋" w:cs="Times New Roman"/>
          <w:b/>
          <w:sz w:val="32"/>
          <w:szCs w:val="24"/>
        </w:rPr>
      </w:pPr>
      <w:r>
        <w:rPr>
          <w:rFonts w:ascii="仿宋" w:hAnsi="仿宋" w:eastAsia="仿宋"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单位名称</w:t>
            </w:r>
          </w:p>
        </w:tc>
        <w:tc>
          <w:tcPr>
            <w:tcW w:w="1134"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单位性质</w:t>
            </w:r>
          </w:p>
        </w:tc>
        <w:tc>
          <w:tcPr>
            <w:tcW w:w="1276"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单位规格</w:t>
            </w:r>
          </w:p>
        </w:tc>
        <w:tc>
          <w:tcPr>
            <w:tcW w:w="2902" w:type="dxa"/>
            <w:vMerge w:val="restart"/>
            <w:shd w:val="clear" w:color="auto" w:fill="auto"/>
            <w:vAlign w:val="center"/>
          </w:tcPr>
          <w:p>
            <w:pPr>
              <w:spacing w:line="584" w:lineRule="exact"/>
              <w:jc w:val="center"/>
              <w:rPr>
                <w:rFonts w:ascii="仿宋" w:hAnsi="仿宋" w:eastAsia="仿宋" w:cs="Times New Roman"/>
                <w:b/>
                <w:szCs w:val="24"/>
              </w:rPr>
            </w:pPr>
            <w:r>
              <w:rPr>
                <w:rFonts w:ascii="仿宋" w:hAnsi="仿宋" w:eastAsia="仿宋"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sz w:val="28"/>
                <w:szCs w:val="28"/>
              </w:rPr>
              <w:t>大厂回族自治县</w:t>
            </w:r>
            <w:r>
              <w:rPr>
                <w:rFonts w:hint="eastAsia" w:ascii="仿宋" w:hAnsi="仿宋" w:eastAsia="仿宋"/>
                <w:sz w:val="28"/>
                <w:szCs w:val="28"/>
                <w:lang w:eastAsia="zh-CN"/>
              </w:rPr>
              <w:t>图书馆</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sz w:val="32"/>
                <w:szCs w:val="32"/>
              </w:rPr>
              <w:t>事业</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sz w:val="32"/>
                <w:szCs w:val="32"/>
              </w:rPr>
              <w:t>正</w:t>
            </w:r>
            <w:r>
              <w:rPr>
                <w:rFonts w:hint="eastAsia" w:ascii="仿宋" w:hAnsi="仿宋" w:eastAsia="仿宋" w:cs="仿宋"/>
                <w:sz w:val="32"/>
                <w:szCs w:val="32"/>
                <w:lang w:eastAsia="zh-CN"/>
              </w:rPr>
              <w:t>股</w:t>
            </w:r>
            <w:r>
              <w:rPr>
                <w:rFonts w:hint="eastAsia" w:ascii="仿宋" w:hAnsi="仿宋" w:eastAsia="仿宋" w:cs="仿宋"/>
                <w:sz w:val="32"/>
                <w:szCs w:val="32"/>
              </w:rPr>
              <w:t>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仿宋" w:hAnsi="仿宋" w:eastAsia="仿宋" w:cs="仿宋"/>
                <w:sz w:val="32"/>
                <w:szCs w:val="32"/>
              </w:rPr>
              <w:t>财政性资金基本保证</w:t>
            </w:r>
            <w:r>
              <w:rPr>
                <w:rFonts w:hint="eastAsia" w:ascii="仿宋" w:hAnsi="仿宋" w:eastAsia="仿宋" w:cs="仿宋"/>
                <w:color w:val="000000" w:themeColor="text1"/>
                <w:sz w:val="32"/>
                <w:szCs w:val="32"/>
              </w:rPr>
              <w:t>（</w:t>
            </w:r>
            <w:r>
              <w:rPr>
                <w:rFonts w:ascii="Times New Roman" w:hAnsi="Times New Roman" w:eastAsia="仿宋" w:cs="Times New Roman"/>
                <w:color w:val="000000" w:themeColor="text1"/>
                <w:sz w:val="32"/>
                <w:szCs w:val="32"/>
              </w:rPr>
              <w:t>全额事业</w:t>
            </w:r>
            <w:r>
              <w:rPr>
                <w:rFonts w:hint="eastAsia" w:ascii="仿宋" w:hAnsi="仿宋" w:eastAsia="仿宋" w:cs="仿宋"/>
                <w:sz w:val="32"/>
                <w:szCs w:val="32"/>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left"/>
              <w:rPr>
                <w:rFonts w:ascii="Times New Roman" w:hAnsi="Times New Roman" w:eastAsia="仿宋_GB2312" w:cs="Times New Roman"/>
              </w:rPr>
            </w:pPr>
          </w:p>
        </w:tc>
        <w:tc>
          <w:tcPr>
            <w:tcW w:w="1134" w:type="dxa"/>
            <w:shd w:val="clear" w:color="auto" w:fill="auto"/>
            <w:vAlign w:val="center"/>
          </w:tcPr>
          <w:p>
            <w:pPr>
              <w:spacing w:line="584" w:lineRule="exact"/>
              <w:jc w:val="center"/>
              <w:rPr>
                <w:rFonts w:ascii="Times New Roman" w:hAnsi="Times New Roman" w:eastAsia="仿宋_GB2312" w:cs="Times New Roman"/>
              </w:rPr>
            </w:pPr>
          </w:p>
        </w:tc>
        <w:tc>
          <w:tcPr>
            <w:tcW w:w="1276" w:type="dxa"/>
            <w:shd w:val="clear" w:color="auto" w:fill="auto"/>
            <w:vAlign w:val="center"/>
          </w:tcPr>
          <w:p>
            <w:pPr>
              <w:spacing w:line="584" w:lineRule="exact"/>
              <w:jc w:val="center"/>
              <w:rPr>
                <w:rFonts w:ascii="Times New Roman" w:hAnsi="Times New Roman" w:eastAsia="仿宋_GB2312" w:cs="Times New Roman"/>
              </w:rPr>
            </w:pPr>
          </w:p>
        </w:tc>
        <w:tc>
          <w:tcPr>
            <w:tcW w:w="2902" w:type="dxa"/>
            <w:shd w:val="clear" w:color="auto" w:fill="auto"/>
            <w:vAlign w:val="center"/>
          </w:tcPr>
          <w:p>
            <w:pPr>
              <w:spacing w:line="584" w:lineRule="exact"/>
              <w:jc w:val="center"/>
              <w:rPr>
                <w:rFonts w:ascii="Times New Roman" w:hAnsi="Times New Roman" w:eastAsia="仿宋_GB2312" w:cs="Times New Roman"/>
              </w:rPr>
            </w:pP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w:t>
      </w:r>
      <w:r>
        <w:rPr>
          <w:rFonts w:hint="eastAsia" w:ascii="Times New Roman" w:hAnsi="Times New Roman" w:eastAsia="黑体" w:cs="Times New Roman"/>
          <w:sz w:val="32"/>
          <w:szCs w:val="32"/>
          <w:lang w:eastAsia="zh-CN"/>
        </w:rPr>
        <w:t>单位</w:t>
      </w:r>
      <w:r>
        <w:rPr>
          <w:rFonts w:ascii="Times New Roman" w:hAnsi="Times New Roman" w:eastAsia="黑体" w:cs="Times New Roman"/>
          <w:sz w:val="32"/>
          <w:szCs w:val="32"/>
        </w:rPr>
        <w:t>预算安排的总体情况</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按照预算管理有关规定，目前我</w:t>
      </w:r>
      <w:r>
        <w:rPr>
          <w:rFonts w:hint="eastAsia" w:ascii="仿宋" w:hAnsi="仿宋" w:eastAsia="仿宋" w:cs="Times New Roman"/>
          <w:sz w:val="32"/>
          <w:szCs w:val="32"/>
          <w:lang w:eastAsia="zh-CN"/>
        </w:rPr>
        <w:t>单位</w:t>
      </w:r>
      <w:r>
        <w:rPr>
          <w:rFonts w:ascii="仿宋" w:hAnsi="仿宋" w:eastAsia="仿宋" w:cs="Times New Roman"/>
          <w:sz w:val="32"/>
          <w:szCs w:val="32"/>
        </w:rPr>
        <w:t>预算的编制实行综合预算制度，即全部收入和支出都反映在预算中。</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图书馆</w:t>
      </w:r>
      <w:r>
        <w:rPr>
          <w:rFonts w:ascii="仿宋" w:hAnsi="仿宋" w:eastAsia="仿宋" w:cs="Times New Roman"/>
          <w:color w:val="000000" w:themeColor="text1"/>
          <w:sz w:val="32"/>
          <w:szCs w:val="32"/>
        </w:rPr>
        <w:t>及所属事业单位</w:t>
      </w:r>
      <w:r>
        <w:rPr>
          <w:rFonts w:ascii="仿宋" w:hAnsi="仿宋" w:eastAsia="仿宋" w:cs="Times New Roman"/>
          <w:sz w:val="32"/>
          <w:szCs w:val="32"/>
        </w:rPr>
        <w:t>的收支包含在部门预算中。</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1、收入说明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反映本部门当年全部收入。20</w:t>
      </w:r>
      <w:r>
        <w:rPr>
          <w:rFonts w:hint="eastAsia" w:ascii="仿宋" w:hAnsi="仿宋" w:eastAsia="仿宋" w:cs="Times New Roman"/>
          <w:sz w:val="32"/>
          <w:szCs w:val="32"/>
        </w:rPr>
        <w:t>22</w:t>
      </w:r>
      <w:r>
        <w:rPr>
          <w:rFonts w:ascii="仿宋" w:hAnsi="仿宋" w:eastAsia="仿宋" w:cs="Times New Roman"/>
          <w:sz w:val="32"/>
          <w:szCs w:val="32"/>
        </w:rPr>
        <w:t>年预算收入</w:t>
      </w:r>
      <w:r>
        <w:rPr>
          <w:rFonts w:hint="eastAsia" w:ascii="仿宋" w:hAnsi="仿宋" w:eastAsia="仿宋" w:cs="Times New Roman"/>
          <w:sz w:val="32"/>
          <w:szCs w:val="32"/>
          <w:lang w:val="en-US" w:eastAsia="zh-CN"/>
        </w:rPr>
        <w:t>274.65</w:t>
      </w:r>
      <w:r>
        <w:rPr>
          <w:rFonts w:ascii="仿宋" w:hAnsi="仿宋" w:eastAsia="仿宋" w:cs="Times New Roman"/>
          <w:sz w:val="32"/>
          <w:szCs w:val="32"/>
        </w:rPr>
        <w:t>万元，其中：一般公共预算收入</w:t>
      </w:r>
      <w:r>
        <w:rPr>
          <w:rFonts w:hint="eastAsia" w:ascii="仿宋" w:hAnsi="仿宋" w:eastAsia="仿宋" w:cs="Times New Roman"/>
          <w:sz w:val="32"/>
          <w:szCs w:val="32"/>
          <w:lang w:val="en-US" w:eastAsia="zh-CN"/>
        </w:rPr>
        <w:t>274.65</w:t>
      </w:r>
      <w:r>
        <w:rPr>
          <w:rFonts w:ascii="仿宋" w:hAnsi="仿宋" w:eastAsia="仿宋" w:cs="Times New Roman"/>
          <w:sz w:val="32"/>
          <w:szCs w:val="32"/>
        </w:rPr>
        <w:t>万元，基金预算收入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万元，财政专户核拨收入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万元，其他来源收入</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上年结转</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（有则写，无则填0万元）。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2、支出说明</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收支预算总表支出栏、基本支出表、项目支出表按经济分类和支出功能分类科目编制，反映</w:t>
      </w: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图书馆</w:t>
      </w:r>
      <w:r>
        <w:rPr>
          <w:rFonts w:ascii="仿宋" w:hAnsi="仿宋" w:eastAsia="仿宋" w:cs="Times New Roman"/>
          <w:sz w:val="32"/>
          <w:szCs w:val="32"/>
        </w:rPr>
        <w:t>年度部门预算中支出预算的总体情况。20</w:t>
      </w:r>
      <w:r>
        <w:rPr>
          <w:rFonts w:hint="eastAsia" w:ascii="仿宋" w:hAnsi="仿宋" w:eastAsia="仿宋" w:cs="Times New Roman"/>
          <w:sz w:val="32"/>
          <w:szCs w:val="32"/>
        </w:rPr>
        <w:t>22</w:t>
      </w:r>
      <w:r>
        <w:rPr>
          <w:rFonts w:ascii="仿宋" w:hAnsi="仿宋" w:eastAsia="仿宋" w:cs="Times New Roman"/>
          <w:sz w:val="32"/>
          <w:szCs w:val="32"/>
        </w:rPr>
        <w:t>年支出预算</w:t>
      </w:r>
      <w:r>
        <w:rPr>
          <w:rFonts w:hint="eastAsia" w:ascii="仿宋" w:hAnsi="仿宋" w:eastAsia="仿宋" w:cs="Times New Roman"/>
          <w:sz w:val="32"/>
          <w:szCs w:val="32"/>
          <w:lang w:val="en-US" w:eastAsia="zh-CN"/>
        </w:rPr>
        <w:t>274.65</w:t>
      </w:r>
      <w:r>
        <w:rPr>
          <w:rFonts w:ascii="仿宋" w:hAnsi="仿宋" w:eastAsia="仿宋" w:cs="Times New Roman"/>
          <w:sz w:val="32"/>
          <w:szCs w:val="32"/>
        </w:rPr>
        <w:t>万元，其中基本支出</w:t>
      </w:r>
      <w:r>
        <w:rPr>
          <w:rFonts w:hint="eastAsia" w:ascii="仿宋" w:hAnsi="仿宋" w:eastAsia="仿宋" w:cs="Times New Roman"/>
          <w:sz w:val="32"/>
          <w:szCs w:val="32"/>
          <w:lang w:val="en-US" w:eastAsia="zh-CN"/>
        </w:rPr>
        <w:t>94.33</w:t>
      </w:r>
      <w:r>
        <w:rPr>
          <w:rFonts w:ascii="仿宋" w:hAnsi="仿宋" w:eastAsia="仿宋" w:cs="Times New Roman"/>
          <w:sz w:val="32"/>
          <w:szCs w:val="32"/>
        </w:rPr>
        <w:t>万元，包括人员类项目经费</w:t>
      </w:r>
      <w:r>
        <w:rPr>
          <w:rFonts w:hint="eastAsia" w:ascii="仿宋" w:hAnsi="仿宋" w:eastAsia="仿宋" w:cs="Times New Roman"/>
          <w:sz w:val="32"/>
          <w:szCs w:val="32"/>
          <w:lang w:val="en-US" w:eastAsia="zh-CN"/>
        </w:rPr>
        <w:t>86.06</w:t>
      </w:r>
      <w:r>
        <w:rPr>
          <w:rFonts w:ascii="仿宋" w:hAnsi="仿宋" w:eastAsia="仿宋" w:cs="Times New Roman"/>
          <w:sz w:val="32"/>
          <w:szCs w:val="32"/>
        </w:rPr>
        <w:t>万元和</w:t>
      </w:r>
      <w:r>
        <w:rPr>
          <w:rFonts w:hint="eastAsia" w:ascii="仿宋" w:hAnsi="仿宋" w:eastAsia="仿宋" w:cs="Times New Roman"/>
          <w:sz w:val="32"/>
          <w:szCs w:val="32"/>
        </w:rPr>
        <w:t>运转类</w:t>
      </w:r>
      <w:r>
        <w:rPr>
          <w:rFonts w:ascii="仿宋" w:hAnsi="仿宋" w:eastAsia="仿宋" w:cs="Times New Roman"/>
          <w:sz w:val="32"/>
          <w:szCs w:val="32"/>
        </w:rPr>
        <w:t>公用项目经费</w:t>
      </w:r>
      <w:r>
        <w:rPr>
          <w:rFonts w:hint="eastAsia" w:ascii="仿宋" w:hAnsi="仿宋" w:eastAsia="仿宋" w:cs="Times New Roman"/>
          <w:sz w:val="32"/>
          <w:szCs w:val="32"/>
          <w:lang w:val="en-US" w:eastAsia="zh-CN"/>
        </w:rPr>
        <w:t>8.27</w:t>
      </w:r>
      <w:r>
        <w:rPr>
          <w:rFonts w:ascii="仿宋" w:hAnsi="仿宋" w:eastAsia="仿宋" w:cs="Times New Roman"/>
          <w:sz w:val="32"/>
          <w:szCs w:val="32"/>
        </w:rPr>
        <w:t>万元；运转类其他及特定目标类项目支出</w:t>
      </w:r>
      <w:r>
        <w:rPr>
          <w:rFonts w:hint="eastAsia" w:ascii="仿宋" w:hAnsi="仿宋" w:eastAsia="仿宋" w:cs="Times New Roman"/>
          <w:sz w:val="32"/>
          <w:szCs w:val="32"/>
          <w:lang w:val="en-US" w:eastAsia="zh-CN"/>
        </w:rPr>
        <w:t>180.32</w:t>
      </w:r>
      <w:r>
        <w:rPr>
          <w:rFonts w:ascii="仿宋" w:hAnsi="仿宋" w:eastAsia="仿宋" w:cs="Times New Roman"/>
          <w:sz w:val="32"/>
          <w:szCs w:val="32"/>
        </w:rPr>
        <w:t>万元。</w:t>
      </w:r>
    </w:p>
    <w:p>
      <w:pPr>
        <w:spacing w:line="584" w:lineRule="exact"/>
        <w:ind w:firstLine="640"/>
        <w:rPr>
          <w:rFonts w:ascii="仿宋" w:hAnsi="仿宋" w:eastAsia="仿宋" w:cs="Times New Roman"/>
          <w:b/>
          <w:sz w:val="32"/>
          <w:szCs w:val="32"/>
        </w:rPr>
      </w:pPr>
      <w:r>
        <w:rPr>
          <w:rFonts w:ascii="仿宋" w:hAnsi="仿宋" w:eastAsia="仿宋" w:cs="Times New Roman"/>
          <w:b/>
          <w:sz w:val="32"/>
          <w:szCs w:val="32"/>
        </w:rPr>
        <w:t>3、比上年增减情况</w:t>
      </w:r>
    </w:p>
    <w:p>
      <w:pPr>
        <w:spacing w:line="584" w:lineRule="exact"/>
        <w:ind w:firstLine="640"/>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年预算收支安排</w:t>
      </w:r>
      <w:r>
        <w:rPr>
          <w:rFonts w:hint="eastAsia" w:ascii="仿宋" w:hAnsi="仿宋" w:eastAsia="仿宋" w:cs="Times New Roman"/>
          <w:sz w:val="32"/>
          <w:szCs w:val="32"/>
          <w:lang w:val="en-US" w:eastAsia="zh-CN"/>
        </w:rPr>
        <w:t>274.65</w:t>
      </w:r>
      <w:r>
        <w:rPr>
          <w:rFonts w:ascii="仿宋" w:hAnsi="仿宋" w:eastAsia="仿宋" w:cs="Times New Roman"/>
          <w:sz w:val="32"/>
          <w:szCs w:val="32"/>
        </w:rPr>
        <w:t>万元，较20</w:t>
      </w:r>
      <w:r>
        <w:rPr>
          <w:rFonts w:hint="eastAsia" w:ascii="仿宋" w:hAnsi="仿宋" w:eastAsia="仿宋" w:cs="Times New Roman"/>
          <w:sz w:val="32"/>
          <w:szCs w:val="32"/>
        </w:rPr>
        <w:t>21</w:t>
      </w:r>
      <w:r>
        <w:rPr>
          <w:rFonts w:ascii="仿宋" w:hAnsi="仿宋" w:eastAsia="仿宋" w:cs="Times New Roman"/>
          <w:sz w:val="32"/>
          <w:szCs w:val="32"/>
        </w:rPr>
        <w:t>年预算增加</w:t>
      </w:r>
      <w:r>
        <w:rPr>
          <w:rFonts w:hint="eastAsia" w:ascii="仿宋" w:hAnsi="仿宋" w:eastAsia="仿宋" w:cs="Times New Roman"/>
          <w:sz w:val="32"/>
          <w:szCs w:val="32"/>
          <w:lang w:val="en-US" w:eastAsia="zh-CN"/>
        </w:rPr>
        <w:t>60.86</w:t>
      </w:r>
      <w:r>
        <w:rPr>
          <w:rFonts w:ascii="仿宋" w:hAnsi="仿宋" w:eastAsia="仿宋" w:cs="Times New Roman"/>
          <w:sz w:val="32"/>
          <w:szCs w:val="32"/>
        </w:rPr>
        <w:t>万元，其中：基本支出增加</w:t>
      </w:r>
      <w:r>
        <w:rPr>
          <w:rFonts w:hint="eastAsia" w:ascii="仿宋" w:hAnsi="仿宋" w:eastAsia="仿宋" w:cs="Times New Roman"/>
          <w:sz w:val="32"/>
          <w:szCs w:val="32"/>
          <w:lang w:val="en-US" w:eastAsia="zh-CN"/>
        </w:rPr>
        <w:t>9.19</w:t>
      </w:r>
      <w:r>
        <w:rPr>
          <w:rFonts w:ascii="仿宋" w:hAnsi="仿宋" w:eastAsia="仿宋" w:cs="Times New Roman"/>
          <w:sz w:val="32"/>
          <w:szCs w:val="32"/>
        </w:rPr>
        <w:t>万元，主要为</w:t>
      </w:r>
      <w:r>
        <w:rPr>
          <w:rFonts w:hint="eastAsia" w:ascii="仿宋" w:hAnsi="仿宋" w:eastAsia="仿宋" w:cs="Times New Roman"/>
          <w:sz w:val="32"/>
          <w:szCs w:val="32"/>
          <w:lang w:eastAsia="zh-CN"/>
        </w:rPr>
        <w:t>新增人员工资</w:t>
      </w:r>
      <w:r>
        <w:rPr>
          <w:rFonts w:ascii="仿宋" w:hAnsi="仿宋" w:eastAsia="仿宋" w:cs="Times New Roman"/>
          <w:sz w:val="32"/>
          <w:szCs w:val="32"/>
        </w:rPr>
        <w:t>支出；项目支出增加</w:t>
      </w:r>
      <w:r>
        <w:rPr>
          <w:rFonts w:hint="eastAsia" w:ascii="仿宋" w:hAnsi="仿宋" w:eastAsia="仿宋" w:cs="Times New Roman"/>
          <w:sz w:val="32"/>
          <w:szCs w:val="32"/>
          <w:lang w:val="en-US" w:eastAsia="zh-CN"/>
        </w:rPr>
        <w:t>51.67</w:t>
      </w:r>
      <w:r>
        <w:rPr>
          <w:rFonts w:ascii="仿宋" w:hAnsi="仿宋" w:eastAsia="仿宋" w:cs="Times New Roman"/>
          <w:sz w:val="32"/>
          <w:szCs w:val="32"/>
        </w:rPr>
        <w:t>万元，主要为</w:t>
      </w:r>
      <w:r>
        <w:rPr>
          <w:rFonts w:hint="eastAsia" w:ascii="仿宋" w:hAnsi="仿宋" w:eastAsia="仿宋" w:cs="Times New Roman"/>
          <w:sz w:val="32"/>
          <w:szCs w:val="32"/>
          <w:lang w:eastAsia="zh-CN"/>
        </w:rPr>
        <w:t>新增</w:t>
      </w:r>
      <w:r>
        <w:rPr>
          <w:rFonts w:ascii="仿宋" w:hAnsi="仿宋" w:eastAsia="仿宋"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仿宋" w:hAnsi="仿宋" w:eastAsia="仿宋" w:cs="Times New Roman"/>
          <w:sz w:val="32"/>
          <w:szCs w:val="32"/>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lang w:eastAsia="zh-CN"/>
        </w:rPr>
        <w:t>馆</w:t>
      </w:r>
      <w:r>
        <w:rPr>
          <w:rFonts w:ascii="仿宋" w:hAnsi="仿宋" w:eastAsia="仿宋" w:cs="Times New Roman"/>
          <w:sz w:val="32"/>
          <w:szCs w:val="32"/>
        </w:rPr>
        <w:t>机关运行经费共计安排</w:t>
      </w:r>
      <w:r>
        <w:rPr>
          <w:rFonts w:hint="eastAsia" w:ascii="仿宋" w:hAnsi="仿宋" w:eastAsia="仿宋" w:cs="Times New Roman"/>
          <w:sz w:val="32"/>
          <w:szCs w:val="32"/>
          <w:lang w:val="en-US" w:eastAsia="zh-CN"/>
        </w:rPr>
        <w:t>8.27</w:t>
      </w:r>
      <w:r>
        <w:rPr>
          <w:rFonts w:ascii="仿宋" w:hAnsi="仿宋" w:eastAsia="仿宋" w:cs="Times New Roman"/>
          <w:sz w:val="32"/>
          <w:szCs w:val="32"/>
        </w:rPr>
        <w:t>万元，主要用于</w:t>
      </w:r>
      <w:r>
        <w:rPr>
          <w:rFonts w:hint="eastAsia" w:ascii="仿宋" w:hAnsi="仿宋" w:eastAsia="仿宋" w:cs="Times New Roman"/>
          <w:sz w:val="32"/>
          <w:szCs w:val="32"/>
          <w:lang w:eastAsia="zh-CN"/>
        </w:rPr>
        <w:t>我馆</w:t>
      </w:r>
      <w:r>
        <w:rPr>
          <w:rFonts w:ascii="仿宋" w:hAnsi="仿宋" w:eastAsia="仿宋"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707" w:firstLineChars="221"/>
        <w:jc w:val="left"/>
        <w:rPr>
          <w:rFonts w:ascii="黑体" w:hAnsi="黑体" w:eastAsia="黑体" w:cs="Times New Roman"/>
          <w:sz w:val="32"/>
          <w:szCs w:val="32"/>
        </w:rPr>
      </w:pPr>
      <w:r>
        <w:rPr>
          <w:rFonts w:hint="eastAsia" w:ascii="黑体" w:hAnsi="黑体" w:eastAsia="黑体" w:cs="Times New Roman"/>
          <w:sz w:val="32"/>
          <w:szCs w:val="32"/>
        </w:rPr>
        <w:t xml:space="preserve"> </w:t>
      </w:r>
      <w:r>
        <w:rPr>
          <w:rFonts w:ascii="黑体" w:hAnsi="黑体" w:eastAsia="黑体" w:cs="Times New Roman"/>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仿宋" w:hAnsi="仿宋" w:eastAsia="仿宋" w:cs="Times New Roman"/>
          <w:sz w:val="32"/>
          <w:szCs w:val="32"/>
          <w:lang w:eastAsia="zh-CN"/>
        </w:rPr>
      </w:pPr>
      <w:r>
        <w:rPr>
          <w:rFonts w:ascii="仿宋" w:hAnsi="仿宋" w:eastAsia="仿宋" w:cs="Times New Roman"/>
          <w:sz w:val="32"/>
          <w:szCs w:val="32"/>
        </w:rPr>
        <w:t>20</w:t>
      </w:r>
      <w:r>
        <w:rPr>
          <w:rFonts w:hint="eastAsia" w:ascii="仿宋" w:hAnsi="仿宋" w:eastAsia="仿宋" w:cs="Times New Roman"/>
          <w:sz w:val="32"/>
          <w:szCs w:val="32"/>
        </w:rPr>
        <w:t>22</w:t>
      </w:r>
      <w:r>
        <w:rPr>
          <w:rFonts w:ascii="仿宋" w:hAnsi="仿宋" w:eastAsia="仿宋" w:cs="Times New Roman"/>
          <w:sz w:val="32"/>
          <w:szCs w:val="32"/>
        </w:rPr>
        <w:t>年，我</w:t>
      </w:r>
      <w:r>
        <w:rPr>
          <w:rFonts w:hint="eastAsia" w:ascii="仿宋" w:hAnsi="仿宋" w:eastAsia="仿宋" w:cs="Times New Roman"/>
          <w:sz w:val="32"/>
          <w:szCs w:val="32"/>
          <w:lang w:eastAsia="zh-CN"/>
        </w:rPr>
        <w:t>馆</w:t>
      </w:r>
      <w:r>
        <w:rPr>
          <w:rFonts w:ascii="仿宋" w:hAnsi="仿宋" w:eastAsia="仿宋" w:cs="Times New Roman"/>
          <w:sz w:val="32"/>
          <w:szCs w:val="32"/>
        </w:rPr>
        <w:t>财政拨款“三公”经费预算安排</w:t>
      </w:r>
      <w:r>
        <w:rPr>
          <w:rFonts w:hint="eastAsia" w:ascii="仿宋" w:hAnsi="仿宋" w:eastAsia="仿宋" w:cs="Times New Roman"/>
          <w:sz w:val="32"/>
          <w:szCs w:val="32"/>
          <w:lang w:val="en-US" w:eastAsia="zh-CN"/>
        </w:rPr>
        <w:t>2.34</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其中</w:t>
      </w:r>
      <w:r>
        <w:rPr>
          <w:rFonts w:hint="eastAsia" w:ascii="仿宋" w:hAnsi="仿宋" w:eastAsia="仿宋" w:cs="Times New Roman"/>
          <w:sz w:val="32"/>
          <w:szCs w:val="32"/>
        </w:rPr>
        <w:t>，</w:t>
      </w:r>
      <w:r>
        <w:rPr>
          <w:rFonts w:ascii="仿宋" w:hAnsi="仿宋" w:eastAsia="仿宋" w:cs="Times New Roman"/>
          <w:sz w:val="32"/>
          <w:szCs w:val="32"/>
        </w:rPr>
        <w:t>因公出国（境）费</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万元；公务用车购置及运维费</w:t>
      </w:r>
      <w:r>
        <w:rPr>
          <w:rFonts w:hint="eastAsia" w:ascii="仿宋" w:hAnsi="仿宋" w:eastAsia="仿宋" w:cs="Times New Roman"/>
          <w:sz w:val="32"/>
          <w:szCs w:val="32"/>
          <w:lang w:val="en-US" w:eastAsia="zh-CN"/>
        </w:rPr>
        <w:t>2.3</w:t>
      </w:r>
      <w:r>
        <w:rPr>
          <w:rFonts w:ascii="仿宋" w:hAnsi="仿宋" w:eastAsia="仿宋" w:cs="Times New Roman"/>
          <w:sz w:val="32"/>
          <w:szCs w:val="32"/>
        </w:rPr>
        <w:t>万元（其中：公务用车购置费为</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val="en-US" w:eastAsia="zh-CN"/>
        </w:rPr>
        <w:t>2.3</w:t>
      </w:r>
      <w:r>
        <w:rPr>
          <w:rFonts w:ascii="仿宋" w:hAnsi="仿宋" w:eastAsia="仿宋" w:cs="Times New Roman"/>
          <w:sz w:val="32"/>
          <w:szCs w:val="32"/>
        </w:rPr>
        <w:t>万元)；公务接待费</w:t>
      </w:r>
      <w:r>
        <w:rPr>
          <w:rFonts w:hint="eastAsia" w:ascii="仿宋" w:hAnsi="仿宋" w:eastAsia="仿宋" w:cs="Times New Roman"/>
          <w:sz w:val="32"/>
          <w:szCs w:val="32"/>
          <w:lang w:val="en-US" w:eastAsia="zh-CN"/>
        </w:rPr>
        <w:t>0.04</w:t>
      </w:r>
      <w:r>
        <w:rPr>
          <w:rFonts w:ascii="仿宋" w:hAnsi="仿宋" w:eastAsia="仿宋" w:cs="Times New Roman"/>
          <w:sz w:val="32"/>
          <w:szCs w:val="32"/>
        </w:rPr>
        <w:t>万元。与20</w:t>
      </w:r>
      <w:r>
        <w:rPr>
          <w:rFonts w:hint="eastAsia" w:ascii="仿宋" w:hAnsi="仿宋" w:eastAsia="仿宋" w:cs="Times New Roman"/>
          <w:sz w:val="32"/>
          <w:szCs w:val="32"/>
        </w:rPr>
        <w:t>21</w:t>
      </w:r>
      <w:r>
        <w:rPr>
          <w:rFonts w:ascii="仿宋" w:hAnsi="仿宋" w:eastAsia="仿宋" w:cs="Times New Roman"/>
          <w:sz w:val="32"/>
          <w:szCs w:val="32"/>
        </w:rPr>
        <w:t>年</w:t>
      </w:r>
      <w:r>
        <w:rPr>
          <w:rFonts w:hint="eastAsia" w:ascii="仿宋" w:hAnsi="仿宋" w:eastAsia="仿宋" w:cs="Times New Roman"/>
          <w:sz w:val="32"/>
          <w:szCs w:val="32"/>
        </w:rPr>
        <w:t>相比</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0.02</w:t>
      </w:r>
      <w:r>
        <w:rPr>
          <w:rFonts w:ascii="仿宋" w:hAnsi="仿宋" w:eastAsia="仿宋" w:cs="Times New Roman"/>
          <w:sz w:val="32"/>
          <w:szCs w:val="32"/>
        </w:rPr>
        <w:t>万元，</w:t>
      </w:r>
      <w:r>
        <w:rPr>
          <w:rFonts w:hint="eastAsia" w:ascii="仿宋" w:hAnsi="仿宋" w:eastAsia="仿宋" w:cs="Times New Roman"/>
          <w:sz w:val="32"/>
          <w:szCs w:val="32"/>
        </w:rPr>
        <w:t>其中，</w:t>
      </w:r>
      <w:r>
        <w:rPr>
          <w:rFonts w:ascii="仿宋" w:hAnsi="仿宋" w:eastAsia="仿宋" w:cs="Times New Roman"/>
          <w:sz w:val="32"/>
          <w:szCs w:val="32"/>
        </w:rPr>
        <w:t>公务用车购置及运维费</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万元（其中：公务用车购置费</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0</w:t>
      </w:r>
      <w:r>
        <w:rPr>
          <w:rFonts w:ascii="仿宋" w:hAnsi="仿宋" w:eastAsia="仿宋" w:cs="Times New Roman"/>
          <w:sz w:val="32"/>
          <w:szCs w:val="32"/>
        </w:rPr>
        <w:t>万元，公务用车运维费</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0</w:t>
      </w:r>
      <w:r>
        <w:rPr>
          <w:rFonts w:ascii="仿宋" w:hAnsi="仿宋" w:eastAsia="仿宋" w:cs="Times New Roman"/>
          <w:sz w:val="32"/>
          <w:szCs w:val="32"/>
        </w:rPr>
        <w:t>万元)</w:t>
      </w:r>
      <w:r>
        <w:rPr>
          <w:rFonts w:hint="eastAsia" w:ascii="仿宋" w:hAnsi="仿宋" w:eastAsia="仿宋" w:cs="Times New Roman"/>
          <w:sz w:val="32"/>
          <w:szCs w:val="32"/>
        </w:rPr>
        <w:t>）</w:t>
      </w:r>
      <w:r>
        <w:rPr>
          <w:rFonts w:ascii="仿宋" w:hAnsi="仿宋" w:eastAsia="仿宋" w:cs="Times New Roman"/>
          <w:sz w:val="32"/>
          <w:szCs w:val="32"/>
        </w:rPr>
        <w:t>；公务接待费</w:t>
      </w:r>
      <w:r>
        <w:rPr>
          <w:rFonts w:hint="eastAsia" w:ascii="仿宋" w:hAnsi="仿宋" w:eastAsia="仿宋" w:cs="Times New Roman"/>
          <w:sz w:val="32"/>
          <w:szCs w:val="32"/>
          <w:lang w:val="en-US" w:eastAsia="zh-CN"/>
        </w:rPr>
        <w:t>0.04</w:t>
      </w:r>
      <w:r>
        <w:rPr>
          <w:rFonts w:ascii="仿宋" w:hAnsi="仿宋" w:eastAsia="仿宋" w:cs="Times New Roman"/>
          <w:sz w:val="32"/>
          <w:szCs w:val="32"/>
        </w:rPr>
        <w:t>万元</w:t>
      </w:r>
      <w:r>
        <w:rPr>
          <w:rFonts w:hint="eastAsia" w:ascii="仿宋" w:hAnsi="仿宋" w:eastAsia="仿宋" w:cs="Times New Roman"/>
          <w:sz w:val="32"/>
          <w:szCs w:val="32"/>
          <w:lang w:eastAsia="zh-CN"/>
        </w:rPr>
        <w:t>，增加</w:t>
      </w:r>
      <w:r>
        <w:rPr>
          <w:rFonts w:hint="eastAsia" w:ascii="仿宋" w:hAnsi="仿宋" w:eastAsia="仿宋" w:cs="Times New Roman"/>
          <w:sz w:val="32"/>
          <w:szCs w:val="32"/>
          <w:lang w:val="en-US" w:eastAsia="zh-CN"/>
        </w:rPr>
        <w:t>0.02</w:t>
      </w:r>
      <w:r>
        <w:rPr>
          <w:rFonts w:hint="eastAsia" w:ascii="仿宋" w:hAnsi="仿宋" w:eastAsia="仿宋" w:cs="Times New Roman"/>
          <w:sz w:val="32"/>
          <w:szCs w:val="32"/>
        </w:rPr>
        <w:t>万元，</w:t>
      </w:r>
      <w:r>
        <w:rPr>
          <w:rFonts w:ascii="仿宋" w:hAnsi="仿宋" w:eastAsia="仿宋" w:cs="Times New Roman"/>
          <w:sz w:val="32"/>
          <w:szCs w:val="32"/>
        </w:rPr>
        <w:t>主要原因是</w:t>
      </w:r>
      <w:r>
        <w:rPr>
          <w:rFonts w:hint="eastAsia" w:ascii="仿宋" w:hAnsi="仿宋" w:eastAsia="仿宋" w:cs="Times New Roman"/>
          <w:sz w:val="32"/>
          <w:szCs w:val="32"/>
        </w:rPr>
        <w:t>我部门</w:t>
      </w:r>
      <w:r>
        <w:rPr>
          <w:rFonts w:hint="eastAsia" w:ascii="仿宋" w:hAnsi="仿宋" w:eastAsia="仿宋" w:cs="Times New Roman"/>
          <w:sz w:val="32"/>
          <w:szCs w:val="32"/>
          <w:lang w:eastAsia="zh-CN"/>
        </w:rPr>
        <w:t>新调入一人，所以公务接待费增加。</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（一）总体绩效目标</w:t>
      </w:r>
    </w:p>
    <w:p>
      <w:pPr>
        <w:ind w:firstLine="640" w:firstLineChars="200"/>
        <w:jc w:val="left"/>
        <w:outlineLvl w:val="0"/>
        <w:rPr>
          <w:rFonts w:ascii="仿宋" w:hAnsi="仿宋" w:eastAsia="仿宋"/>
          <w:sz w:val="32"/>
          <w:szCs w:val="24"/>
        </w:rPr>
      </w:pPr>
      <w:r>
        <w:rPr>
          <w:rFonts w:hint="eastAsia" w:ascii="仿宋" w:hAnsi="仿宋" w:eastAsia="仿宋" w:cs="仿宋"/>
          <w:sz w:val="32"/>
          <w:szCs w:val="32"/>
        </w:rPr>
        <w:t>我单位在省、市部门的支持指导下，在县委、县政府的正确领导下，继续全面学习贯彻落实</w:t>
      </w:r>
      <w:r>
        <w:rPr>
          <w:rFonts w:hint="eastAsia" w:ascii="仿宋" w:hAnsi="仿宋" w:eastAsia="仿宋" w:cs="仿宋"/>
          <w:sz w:val="32"/>
          <w:szCs w:val="32"/>
          <w:lang w:eastAsia="zh-CN"/>
        </w:rPr>
        <w:t>党的</w:t>
      </w:r>
      <w:bookmarkStart w:id="2" w:name="_GoBack"/>
      <w:bookmarkEnd w:id="2"/>
      <w:r>
        <w:rPr>
          <w:rFonts w:hint="eastAsia" w:ascii="仿宋" w:hAnsi="仿宋" w:eastAsia="仿宋" w:cs="仿宋"/>
          <w:sz w:val="32"/>
          <w:szCs w:val="32"/>
        </w:rPr>
        <w:t>十九大精神，以县委全会精神为统领，全面推进文化产业和全域旅游发展，提升文化内涵和公共文化服务水平，扎实开展县级旅发大会各项筹备工作，助力“五城同建”等重点工作。</w:t>
      </w:r>
      <w:r>
        <w:rPr>
          <w:rFonts w:ascii="仿宋" w:hAnsi="仿宋" w:eastAsia="仿宋"/>
          <w:sz w:val="32"/>
          <w:szCs w:val="24"/>
        </w:rPr>
        <w:t>严格按培训计划分期分批搞好培训工作，坚持以人民为中心的工作导向，确保服务水平再提升。财务上做到专款专用，确保培训工作圆满完成。</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（二）分项绩效目标</w:t>
      </w:r>
    </w:p>
    <w:p>
      <w:pPr>
        <w:autoSpaceDE w:val="0"/>
        <w:autoSpaceDN w:val="0"/>
        <w:adjustRightInd w:val="0"/>
        <w:ind w:firstLine="640" w:firstLineChars="200"/>
        <w:jc w:val="left"/>
        <w:outlineLvl w:val="0"/>
        <w:rPr>
          <w:rFonts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eastAsia="zh-CN"/>
        </w:rPr>
        <w:t>大力开展全民阅读活动，掀起全民阅读热潮</w:t>
      </w:r>
      <w:r>
        <w:rPr>
          <w:rFonts w:hint="eastAsia" w:ascii="仿宋" w:hAnsi="仿宋" w:eastAsia="仿宋"/>
          <w:sz w:val="32"/>
          <w:szCs w:val="32"/>
        </w:rPr>
        <w:t>。</w:t>
      </w:r>
    </w:p>
    <w:p>
      <w:pPr>
        <w:autoSpaceDE w:val="0"/>
        <w:autoSpaceDN w:val="0"/>
        <w:adjustRightInd w:val="0"/>
        <w:ind w:firstLine="640" w:firstLineChars="200"/>
        <w:jc w:val="left"/>
        <w:outlineLvl w:val="0"/>
        <w:rPr>
          <w:rFonts w:ascii="仿宋" w:hAnsi="仿宋" w:eastAsia="仿宋"/>
          <w:sz w:val="32"/>
          <w:szCs w:val="32"/>
        </w:rPr>
      </w:pPr>
      <w:r>
        <w:rPr>
          <w:rFonts w:hint="eastAsia" w:ascii="仿宋" w:hAnsi="仿宋" w:eastAsia="仿宋"/>
          <w:sz w:val="32"/>
          <w:szCs w:val="32"/>
          <w:lang w:eastAsia="zh-CN"/>
        </w:rPr>
        <w:t>通过</w:t>
      </w:r>
      <w:r>
        <w:rPr>
          <w:rFonts w:hint="eastAsia" w:ascii="仿宋" w:hAnsi="仿宋" w:eastAsia="仿宋"/>
          <w:sz w:val="32"/>
          <w:szCs w:val="32"/>
        </w:rPr>
        <w:t>图书购置</w:t>
      </w:r>
      <w:r>
        <w:rPr>
          <w:rFonts w:hint="eastAsia" w:ascii="仿宋" w:hAnsi="仿宋" w:eastAsia="仿宋"/>
          <w:sz w:val="32"/>
          <w:szCs w:val="32"/>
          <w:lang w:eastAsia="zh-CN"/>
        </w:rPr>
        <w:t>充实新馆图书藏量，以劳动节、儿童节、母亲节、端午节、国庆节、春节、元宵节等节日为契机，</w:t>
      </w:r>
      <w:r>
        <w:rPr>
          <w:rFonts w:hint="eastAsia" w:ascii="仿宋" w:hAnsi="仿宋" w:eastAsia="仿宋"/>
          <w:sz w:val="32"/>
          <w:szCs w:val="32"/>
        </w:rPr>
        <w:t>开展</w:t>
      </w:r>
      <w:r>
        <w:rPr>
          <w:rFonts w:hint="eastAsia" w:ascii="仿宋" w:hAnsi="仿宋" w:eastAsia="仿宋"/>
          <w:sz w:val="32"/>
          <w:szCs w:val="32"/>
          <w:lang w:eastAsia="zh-CN"/>
        </w:rPr>
        <w:t>丰富多彩的</w:t>
      </w:r>
      <w:r>
        <w:rPr>
          <w:rFonts w:hint="eastAsia" w:ascii="仿宋" w:hAnsi="仿宋" w:eastAsia="仿宋"/>
          <w:sz w:val="32"/>
          <w:szCs w:val="32"/>
        </w:rPr>
        <w:t>阅读推广</w:t>
      </w:r>
      <w:r>
        <w:rPr>
          <w:rFonts w:hint="eastAsia" w:ascii="仿宋" w:hAnsi="仿宋" w:eastAsia="仿宋"/>
          <w:sz w:val="32"/>
          <w:szCs w:val="32"/>
          <w:lang w:eastAsia="zh-CN"/>
        </w:rPr>
        <w:t>和</w:t>
      </w:r>
      <w:r>
        <w:rPr>
          <w:rFonts w:hint="eastAsia" w:ascii="仿宋" w:hAnsi="仿宋" w:eastAsia="仿宋"/>
          <w:sz w:val="32"/>
          <w:szCs w:val="32"/>
        </w:rPr>
        <w:t>宣传活动等</w:t>
      </w:r>
      <w:r>
        <w:rPr>
          <w:rFonts w:hint="eastAsia" w:ascii="仿宋" w:hAnsi="仿宋" w:eastAsia="仿宋"/>
          <w:sz w:val="32"/>
          <w:szCs w:val="32"/>
          <w:lang w:eastAsia="zh-CN"/>
        </w:rPr>
        <w:t>，掀起阅读新热潮</w:t>
      </w:r>
      <w:r>
        <w:rPr>
          <w:rFonts w:hint="eastAsia" w:ascii="仿宋" w:hAnsi="仿宋" w:eastAsia="仿宋"/>
          <w:sz w:val="32"/>
          <w:szCs w:val="32"/>
        </w:rPr>
        <w:t>。</w:t>
      </w:r>
    </w:p>
    <w:p>
      <w:pPr>
        <w:numPr>
          <w:ilvl w:val="0"/>
          <w:numId w:val="0"/>
        </w:numPr>
        <w:ind w:firstLine="640" w:firstLineChars="200"/>
        <w:rPr>
          <w:rFonts w:hint="eastAsia" w:ascii="仿宋" w:hAnsi="仿宋" w:eastAsia="仿宋"/>
          <w:sz w:val="32"/>
          <w:szCs w:val="32"/>
          <w:lang w:eastAsia="zh-CN"/>
        </w:rPr>
      </w:pPr>
      <w:r>
        <w:rPr>
          <w:rFonts w:hint="eastAsia" w:ascii="仿宋" w:hAnsi="仿宋" w:eastAsia="仿宋"/>
          <w:sz w:val="32"/>
          <w:szCs w:val="32"/>
          <w:lang w:val="en-US" w:eastAsia="zh-CN"/>
        </w:rPr>
        <w:t>2、通过大量</w:t>
      </w:r>
      <w:r>
        <w:rPr>
          <w:rFonts w:hint="eastAsia" w:ascii="仿宋" w:hAnsi="仿宋" w:eastAsia="仿宋"/>
          <w:sz w:val="32"/>
          <w:szCs w:val="32"/>
          <w:lang w:eastAsia="zh-CN"/>
        </w:rPr>
        <w:t>印制图书馆宣传画册，和图书馆公众号、网络图书馆的宣传推广活动，提升图书馆知名度，</w:t>
      </w:r>
    </w:p>
    <w:p>
      <w:pPr>
        <w:numPr>
          <w:ilvl w:val="0"/>
          <w:numId w:val="0"/>
        </w:numPr>
        <w:rPr>
          <w:rFonts w:hint="eastAsia" w:ascii="仿宋" w:hAnsi="仿宋" w:eastAsia="仿宋"/>
          <w:sz w:val="32"/>
          <w:szCs w:val="32"/>
          <w:lang w:eastAsia="zh-CN"/>
        </w:rPr>
      </w:pPr>
      <w:r>
        <w:rPr>
          <w:rFonts w:hint="eastAsia" w:ascii="仿宋" w:hAnsi="仿宋" w:eastAsia="仿宋"/>
          <w:sz w:val="32"/>
          <w:szCs w:val="32"/>
          <w:lang w:eastAsia="zh-CN"/>
        </w:rPr>
        <w:t>让更多读者走进图书馆。</w:t>
      </w:r>
    </w:p>
    <w:p>
      <w:pPr>
        <w:numPr>
          <w:ilvl w:val="0"/>
          <w:numId w:val="0"/>
        </w:num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3、做好2022年第七次全国图书馆评估定级工作，确保顺利达标国家二级图书馆。</w:t>
      </w: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（三）工作保障措施</w:t>
      </w:r>
    </w:p>
    <w:p>
      <w:pPr>
        <w:spacing w:line="584" w:lineRule="exact"/>
        <w:ind w:firstLine="640" w:firstLineChars="200"/>
        <w:jc w:val="left"/>
        <w:rPr>
          <w:rFonts w:hint="eastAsia" w:ascii="宋体" w:hAnsi="宋体" w:cs="宋体"/>
          <w:sz w:val="32"/>
          <w:szCs w:val="24"/>
        </w:rPr>
      </w:pPr>
      <w:r>
        <w:rPr>
          <w:rFonts w:hint="eastAsia" w:ascii="仿宋" w:hAnsi="仿宋" w:eastAsia="仿宋" w:cs="仿宋"/>
          <w:sz w:val="32"/>
          <w:szCs w:val="32"/>
        </w:rPr>
        <w:t>202</w:t>
      </w:r>
      <w:r>
        <w:rPr>
          <w:rFonts w:hint="eastAsia" w:ascii="仿宋" w:hAnsi="仿宋" w:eastAsia="仿宋" w:cs="仿宋"/>
          <w:sz w:val="32"/>
          <w:szCs w:val="32"/>
          <w:lang w:val="en-US" w:eastAsia="zh-CN"/>
        </w:rPr>
        <w:t>2</w:t>
      </w:r>
      <w:r>
        <w:rPr>
          <w:rFonts w:hint="eastAsia" w:ascii="仿宋" w:hAnsi="仿宋" w:eastAsia="仿宋" w:cs="仿宋"/>
          <w:sz w:val="32"/>
          <w:szCs w:val="32"/>
        </w:rPr>
        <w:t>年，我</w:t>
      </w:r>
      <w:r>
        <w:rPr>
          <w:rFonts w:hint="eastAsia" w:ascii="仿宋" w:hAnsi="仿宋" w:eastAsia="仿宋" w:cs="仿宋"/>
          <w:sz w:val="32"/>
          <w:szCs w:val="32"/>
          <w:lang w:eastAsia="zh-CN"/>
        </w:rPr>
        <w:t>馆</w:t>
      </w:r>
      <w:r>
        <w:rPr>
          <w:rFonts w:hint="eastAsia" w:ascii="仿宋" w:hAnsi="仿宋" w:eastAsia="仿宋" w:cs="仿宋"/>
          <w:sz w:val="32"/>
          <w:szCs w:val="32"/>
        </w:rPr>
        <w:t>将更加重视和支持财务工作，认真贯彻国家和省有关财经方针、政策，根据国家和省财政的要求，在严格执行国家政策的基础上，以创新的精神健全和完善各项制度和办法，全面推进财务管理工作的开展，进一步加强内控管理，规范财会基础工作，提高财会工作质量，积极适应新形势，以科学发展观为指导全面分析新问题，以改革的思路寻求解决问题的新途径新举措，在预算管理上，按照省财政要求，进一步科学编制、细化预算，均衡支出，严格执行国家和省财政法律、法规和财务规章制度；厉行节约，量入为出，严格审批，保证重点，制止奢侈浪费，注重资金使用效益，为统计事业的健康发展做出新的贡献。</w:t>
      </w:r>
      <w:r>
        <w:rPr>
          <w:rFonts w:hint="eastAsia" w:ascii="宋体" w:hAnsi="宋体" w:cs="宋体"/>
          <w:sz w:val="32"/>
          <w:szCs w:val="24"/>
        </w:rPr>
        <w:t> </w:t>
      </w:r>
    </w:p>
    <w:p>
      <w:pPr>
        <w:spacing w:line="584" w:lineRule="exact"/>
        <w:ind w:firstLine="643" w:firstLineChars="200"/>
        <w:rPr>
          <w:rFonts w:hint="eastAsia" w:ascii="楷体" w:hAnsi="楷体" w:eastAsia="楷体" w:cs="Times New Roman"/>
          <w:b/>
          <w:sz w:val="32"/>
          <w:szCs w:val="32"/>
        </w:rPr>
      </w:pPr>
    </w:p>
    <w:p>
      <w:pPr>
        <w:spacing w:line="584" w:lineRule="exact"/>
        <w:ind w:firstLine="643" w:firstLineChars="200"/>
        <w:rPr>
          <w:rFonts w:ascii="楷体" w:hAnsi="楷体" w:eastAsia="楷体" w:cs="Times New Roman"/>
          <w:b/>
          <w:sz w:val="32"/>
          <w:szCs w:val="32"/>
        </w:rPr>
      </w:pPr>
      <w:r>
        <w:rPr>
          <w:rFonts w:hint="eastAsia" w:ascii="楷体" w:hAnsi="楷体" w:eastAsia="楷体"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重点工作任务</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全年完成</w:t>
            </w:r>
            <w:r>
              <w:rPr>
                <w:rFonts w:hint="eastAsia" w:ascii="方正书宋_GBK" w:eastAsia="方正书宋_GBK"/>
                <w:lang w:val="en-US" w:eastAsia="zh-CN"/>
              </w:rPr>
              <w:t>7</w:t>
            </w:r>
            <w:r>
              <w:rPr>
                <w:rFonts w:hint="eastAsia" w:ascii="方正书宋_GBK" w:eastAsia="方正书宋_GBK"/>
              </w:rPr>
              <w:t>个重点工作任务</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7</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个</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预算项目及实际工作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人次</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后台系统统计数据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全年读者到馆阅读、借阅人次</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5</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万人</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后台系统统计数据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完成时间</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工作方案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2022年12月底</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12</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月</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宣传报道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180.32</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支出进度</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重点工作项目预算经费</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180.32</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预算批复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提升率</w:t>
            </w:r>
          </w:p>
        </w:tc>
        <w:tc>
          <w:tcPr>
            <w:tcW w:w="2172"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后台数据</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2022年到馆借阅人次比去年借阅人次提升率</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w:t>
            </w:r>
          </w:p>
        </w:tc>
        <w:tc>
          <w:tcPr>
            <w:tcW w:w="573"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百分比</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借阅系统数据、新闻报道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满意度</w:t>
            </w:r>
          </w:p>
        </w:tc>
        <w:tc>
          <w:tcPr>
            <w:tcW w:w="2172"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需求调研</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ascii="方正书宋_GBK" w:eastAsia="方正书宋_GBK"/>
              </w:rPr>
              <w:t>调查中服务群体满意和较满意的数量占调查总人数的比率</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w:t>
            </w:r>
          </w:p>
        </w:tc>
        <w:tc>
          <w:tcPr>
            <w:tcW w:w="488"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rPr>
              <w:t>90%</w:t>
            </w:r>
          </w:p>
        </w:tc>
        <w:tc>
          <w:tcPr>
            <w:tcW w:w="573"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百</w:t>
            </w:r>
            <w:r>
              <w:rPr>
                <w:rFonts w:hint="eastAsia" w:ascii="方正书宋_GBK" w:eastAsia="方正书宋_GBK"/>
              </w:rPr>
              <w:t>分比</w:t>
            </w:r>
          </w:p>
        </w:tc>
        <w:tc>
          <w:tcPr>
            <w:tcW w:w="1277" w:type="dxa"/>
            <w:tcBorders>
              <w:tl2br w:val="nil"/>
              <w:tr2bl w:val="nil"/>
            </w:tcBorders>
            <w:vAlign w:val="center"/>
          </w:tcPr>
          <w:p>
            <w:pPr>
              <w:widowControl/>
              <w:adjustRightInd w:val="0"/>
              <w:snapToGrid w:val="0"/>
              <w:ind w:firstLine="210" w:firstLineChars="100"/>
              <w:rPr>
                <w:rFonts w:ascii="方正书宋_GBK" w:eastAsia="方正书宋_GBK"/>
              </w:rPr>
            </w:pPr>
            <w:r>
              <w:rPr>
                <w:rFonts w:hint="eastAsia" w:ascii="方正书宋_GBK" w:eastAsia="方正书宋_GBK"/>
              </w:rPr>
              <w:t>需求调研</w:t>
            </w:r>
          </w:p>
        </w:tc>
      </w:tr>
    </w:tbl>
    <w:p>
      <w:pPr>
        <w:spacing w:line="584" w:lineRule="exact"/>
        <w:rPr>
          <w:rFonts w:ascii="仿宋_GB2312" w:eastAsia="仿宋_GB2312"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pPr>
      <w:r>
        <w:rPr>
          <w:rFonts w:ascii="方正仿宋_GBK" w:hAnsi="方正仿宋_GBK" w:eastAsia="方正仿宋_GBK" w:cs="方正仿宋_GBK"/>
          <w:b/>
          <w:color w:val="000000"/>
          <w:sz w:val="28"/>
        </w:rPr>
        <w:t>1、图书馆社会运营购买服务经费绩效目标表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1.通过开展社会运营购买服务项目的开展，保障图书馆工作正常运行。</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小时</w:t>
            </w:r>
          </w:p>
        </w:tc>
        <w:tc>
          <w:tcPr>
            <w:tcW w:w="2835" w:type="dxa"/>
            <w:vAlign w:val="center"/>
          </w:tcPr>
          <w:p>
            <w:pPr>
              <w:pStyle w:val="13"/>
            </w:pPr>
            <w:r>
              <w:t>每周开馆时间</w:t>
            </w:r>
          </w:p>
        </w:tc>
        <w:tc>
          <w:tcPr>
            <w:tcW w:w="2551" w:type="dxa"/>
            <w:vAlign w:val="center"/>
          </w:tcPr>
          <w:p>
            <w:pPr>
              <w:pStyle w:val="13"/>
            </w:pPr>
            <w:r>
              <w:t>≥60小时</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人次</w:t>
            </w:r>
          </w:p>
        </w:tc>
        <w:tc>
          <w:tcPr>
            <w:tcW w:w="2835" w:type="dxa"/>
            <w:vAlign w:val="center"/>
          </w:tcPr>
          <w:p>
            <w:pPr>
              <w:pStyle w:val="13"/>
            </w:pPr>
            <w:r>
              <w:t>年进馆人次</w:t>
            </w:r>
          </w:p>
        </w:tc>
        <w:tc>
          <w:tcPr>
            <w:tcW w:w="2551" w:type="dxa"/>
            <w:vAlign w:val="center"/>
          </w:tcPr>
          <w:p>
            <w:pPr>
              <w:pStyle w:val="13"/>
            </w:pPr>
            <w:r>
              <w:t>≥6.5万</w:t>
            </w:r>
          </w:p>
        </w:tc>
        <w:tc>
          <w:tcPr>
            <w:tcW w:w="2268" w:type="dxa"/>
            <w:vAlign w:val="center"/>
          </w:tcPr>
          <w:p>
            <w:pPr>
              <w:pStyle w:val="13"/>
            </w:pPr>
            <w:r>
              <w:t>往年数据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中标供应商数量</w:t>
            </w:r>
          </w:p>
        </w:tc>
        <w:tc>
          <w:tcPr>
            <w:tcW w:w="2835" w:type="dxa"/>
            <w:vAlign w:val="center"/>
          </w:tcPr>
          <w:p>
            <w:pPr>
              <w:pStyle w:val="13"/>
            </w:pPr>
            <w:r>
              <w:t>中标供应商数量</w:t>
            </w:r>
          </w:p>
        </w:tc>
        <w:tc>
          <w:tcPr>
            <w:tcW w:w="2551" w:type="dxa"/>
            <w:vAlign w:val="center"/>
          </w:tcPr>
          <w:p>
            <w:pPr>
              <w:pStyle w:val="13"/>
            </w:pPr>
            <w:r>
              <w:t>1个</w:t>
            </w:r>
          </w:p>
        </w:tc>
        <w:tc>
          <w:tcPr>
            <w:tcW w:w="2268" w:type="dxa"/>
            <w:vAlign w:val="center"/>
          </w:tcPr>
          <w:p>
            <w:pPr>
              <w:pStyle w:val="13"/>
            </w:pPr>
            <w:r>
              <w:t>中标书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图书馆正常运转率</w:t>
            </w:r>
          </w:p>
        </w:tc>
        <w:tc>
          <w:tcPr>
            <w:tcW w:w="2835" w:type="dxa"/>
            <w:vAlign w:val="center"/>
          </w:tcPr>
          <w:p>
            <w:pPr>
              <w:pStyle w:val="13"/>
            </w:pPr>
            <w:r>
              <w:t>图书馆正常运转率</w:t>
            </w:r>
          </w:p>
        </w:tc>
        <w:tc>
          <w:tcPr>
            <w:tcW w:w="2551" w:type="dxa"/>
            <w:vAlign w:val="center"/>
          </w:tcPr>
          <w:p>
            <w:pPr>
              <w:pStyle w:val="13"/>
            </w:pPr>
            <w:r>
              <w:t>100%</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2022年按程序履行政府采购程序，确定中标供应商完成合同签订并按合同签订要求支付合同价款。</w:t>
            </w:r>
          </w:p>
        </w:tc>
        <w:tc>
          <w:tcPr>
            <w:tcW w:w="2551" w:type="dxa"/>
            <w:vAlign w:val="center"/>
          </w:tcPr>
          <w:p>
            <w:pPr>
              <w:pStyle w:val="13"/>
            </w:pPr>
            <w:r>
              <w:t>≦12月份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实际支出成本与计划支出成本的情况</w:t>
            </w:r>
          </w:p>
        </w:tc>
        <w:tc>
          <w:tcPr>
            <w:tcW w:w="2551" w:type="dxa"/>
            <w:vAlign w:val="center"/>
          </w:tcPr>
          <w:p>
            <w:pPr>
              <w:pStyle w:val="13"/>
            </w:pPr>
            <w:r>
              <w:t>≦112.32万元</w:t>
            </w:r>
          </w:p>
        </w:tc>
        <w:tc>
          <w:tcPr>
            <w:tcW w:w="2268" w:type="dxa"/>
            <w:vAlign w:val="center"/>
          </w:tcPr>
          <w:p>
            <w:pPr>
              <w:pStyle w:val="13"/>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长效管理机制</w:t>
            </w:r>
          </w:p>
        </w:tc>
        <w:tc>
          <w:tcPr>
            <w:tcW w:w="2835" w:type="dxa"/>
            <w:vAlign w:val="center"/>
          </w:tcPr>
          <w:p>
            <w:pPr>
              <w:pStyle w:val="13"/>
            </w:pPr>
            <w:r>
              <w:t>考察是否建立了长效管理机制</w:t>
            </w:r>
          </w:p>
        </w:tc>
        <w:tc>
          <w:tcPr>
            <w:tcW w:w="2551" w:type="dxa"/>
            <w:vAlign w:val="center"/>
          </w:tcPr>
          <w:p>
            <w:pPr>
              <w:pStyle w:val="13"/>
            </w:pPr>
            <w:r>
              <w:t>100百分比</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社会化运营服务期限</w:t>
            </w:r>
          </w:p>
        </w:tc>
        <w:tc>
          <w:tcPr>
            <w:tcW w:w="2835" w:type="dxa"/>
            <w:vAlign w:val="center"/>
          </w:tcPr>
          <w:p>
            <w:pPr>
              <w:pStyle w:val="13"/>
            </w:pPr>
            <w:r>
              <w:t>社会化运营服务期限</w:t>
            </w:r>
          </w:p>
        </w:tc>
        <w:tc>
          <w:tcPr>
            <w:tcW w:w="2551" w:type="dxa"/>
            <w:vAlign w:val="center"/>
          </w:tcPr>
          <w:p>
            <w:pPr>
              <w:pStyle w:val="13"/>
            </w:pPr>
            <w:r>
              <w:t>1年</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考察服务对象的满意度</w:t>
            </w:r>
          </w:p>
        </w:tc>
        <w:tc>
          <w:tcPr>
            <w:tcW w:w="2835" w:type="dxa"/>
            <w:vAlign w:val="center"/>
          </w:tcPr>
          <w:p>
            <w:pPr>
              <w:pStyle w:val="13"/>
            </w:pPr>
            <w:r>
              <w:t>考察服务对象的满意度</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2、运转经费项目资金绩效目标表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1.通过完成办公设备购置、安排好保洁保安等工作，完善图书馆办公硬件建设和阅读环境，迎接全国图书馆评估定级工作。</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台式电脑</w:t>
            </w:r>
          </w:p>
        </w:tc>
        <w:tc>
          <w:tcPr>
            <w:tcW w:w="2835" w:type="dxa"/>
            <w:vAlign w:val="center"/>
          </w:tcPr>
          <w:p>
            <w:pPr>
              <w:pStyle w:val="13"/>
            </w:pPr>
            <w:r>
              <w:t>电子阅览区、办公区台式电脑</w:t>
            </w:r>
          </w:p>
        </w:tc>
        <w:tc>
          <w:tcPr>
            <w:tcW w:w="2551" w:type="dxa"/>
            <w:vAlign w:val="center"/>
          </w:tcPr>
          <w:p>
            <w:pPr>
              <w:pStyle w:val="13"/>
            </w:pPr>
            <w:r>
              <w:t>≥36台</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打印复印一体机</w:t>
            </w:r>
          </w:p>
        </w:tc>
        <w:tc>
          <w:tcPr>
            <w:tcW w:w="2835" w:type="dxa"/>
            <w:vAlign w:val="center"/>
          </w:tcPr>
          <w:p>
            <w:pPr>
              <w:pStyle w:val="13"/>
            </w:pPr>
            <w:r>
              <w:t>打印复印一体机</w:t>
            </w:r>
          </w:p>
        </w:tc>
        <w:tc>
          <w:tcPr>
            <w:tcW w:w="2551" w:type="dxa"/>
            <w:vAlign w:val="center"/>
          </w:tcPr>
          <w:p>
            <w:pPr>
              <w:pStyle w:val="13"/>
            </w:pPr>
            <w:r>
              <w:t>≥4台</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清扫保洁、安保服务面积</w:t>
            </w:r>
          </w:p>
        </w:tc>
        <w:tc>
          <w:tcPr>
            <w:tcW w:w="2835" w:type="dxa"/>
            <w:vAlign w:val="center"/>
          </w:tcPr>
          <w:p>
            <w:pPr>
              <w:pStyle w:val="13"/>
            </w:pPr>
            <w:r>
              <w:t>清扫保洁、安保服务面积</w:t>
            </w:r>
          </w:p>
        </w:tc>
        <w:tc>
          <w:tcPr>
            <w:tcW w:w="2551" w:type="dxa"/>
            <w:vAlign w:val="center"/>
          </w:tcPr>
          <w:p>
            <w:pPr>
              <w:pStyle w:val="13"/>
            </w:pPr>
            <w:r>
              <w:t>≥3000平方米</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产品合格率</w:t>
            </w:r>
          </w:p>
        </w:tc>
        <w:tc>
          <w:tcPr>
            <w:tcW w:w="2835" w:type="dxa"/>
            <w:vAlign w:val="center"/>
          </w:tcPr>
          <w:p>
            <w:pPr>
              <w:pStyle w:val="13"/>
            </w:pPr>
            <w:r>
              <w:t>产品合格率</w:t>
            </w:r>
          </w:p>
        </w:tc>
        <w:tc>
          <w:tcPr>
            <w:tcW w:w="2551" w:type="dxa"/>
            <w:vAlign w:val="center"/>
          </w:tcPr>
          <w:p>
            <w:pPr>
              <w:pStyle w:val="13"/>
            </w:pPr>
            <w:r>
              <w:t>═100%</w:t>
            </w:r>
          </w:p>
        </w:tc>
        <w:tc>
          <w:tcPr>
            <w:tcW w:w="2268" w:type="dxa"/>
            <w:vAlign w:val="center"/>
          </w:tcPr>
          <w:p>
            <w:pPr>
              <w:pStyle w:val="13"/>
            </w:pPr>
            <w:r>
              <w:t>合格证书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保洁工作合格率</w:t>
            </w:r>
          </w:p>
        </w:tc>
        <w:tc>
          <w:tcPr>
            <w:tcW w:w="2835" w:type="dxa"/>
            <w:vAlign w:val="center"/>
          </w:tcPr>
          <w:p>
            <w:pPr>
              <w:pStyle w:val="13"/>
            </w:pPr>
            <w:r>
              <w:t>保洁工作质量抽查合格次数占全年抽查次数的比例</w:t>
            </w:r>
          </w:p>
        </w:tc>
        <w:tc>
          <w:tcPr>
            <w:tcW w:w="2551" w:type="dxa"/>
            <w:vAlign w:val="center"/>
          </w:tcPr>
          <w:p>
            <w:pPr>
              <w:pStyle w:val="13"/>
            </w:pPr>
            <w:r>
              <w:t>≥98%</w:t>
            </w:r>
          </w:p>
        </w:tc>
        <w:tc>
          <w:tcPr>
            <w:tcW w:w="2268" w:type="dxa"/>
            <w:vAlign w:val="center"/>
          </w:tcPr>
          <w:p>
            <w:pPr>
              <w:pStyle w:val="13"/>
            </w:pPr>
            <w:r>
              <w:t>保洁工作抽查记录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安保工作合格率</w:t>
            </w:r>
          </w:p>
        </w:tc>
        <w:tc>
          <w:tcPr>
            <w:tcW w:w="2835" w:type="dxa"/>
            <w:vAlign w:val="center"/>
          </w:tcPr>
          <w:p>
            <w:pPr>
              <w:pStyle w:val="13"/>
            </w:pPr>
            <w:r>
              <w:t>安保工作质量抽查合格次数占全年抽查次数的比例</w:t>
            </w:r>
          </w:p>
        </w:tc>
        <w:tc>
          <w:tcPr>
            <w:tcW w:w="2551" w:type="dxa"/>
            <w:vAlign w:val="center"/>
          </w:tcPr>
          <w:p>
            <w:pPr>
              <w:pStyle w:val="13"/>
            </w:pPr>
            <w:r>
              <w:t>≥98%</w:t>
            </w:r>
          </w:p>
        </w:tc>
        <w:tc>
          <w:tcPr>
            <w:tcW w:w="2268" w:type="dxa"/>
            <w:vAlign w:val="center"/>
          </w:tcPr>
          <w:p>
            <w:pPr>
              <w:pStyle w:val="13"/>
            </w:pPr>
            <w:r>
              <w:t>安保工作相关记录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设备购置并安装完成时间</w:t>
            </w:r>
          </w:p>
        </w:tc>
        <w:tc>
          <w:tcPr>
            <w:tcW w:w="2835" w:type="dxa"/>
            <w:vAlign w:val="center"/>
          </w:tcPr>
          <w:p>
            <w:pPr>
              <w:pStyle w:val="13"/>
            </w:pPr>
            <w:r>
              <w:t>设备购置并安装完成时间</w:t>
            </w:r>
          </w:p>
        </w:tc>
        <w:tc>
          <w:tcPr>
            <w:tcW w:w="2551" w:type="dxa"/>
            <w:vAlign w:val="center"/>
          </w:tcPr>
          <w:p>
            <w:pPr>
              <w:pStyle w:val="13"/>
            </w:pPr>
            <w:r>
              <w:t>≦12月份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保洁、安保服务考勤率</w:t>
            </w:r>
          </w:p>
        </w:tc>
        <w:tc>
          <w:tcPr>
            <w:tcW w:w="2835" w:type="dxa"/>
            <w:vAlign w:val="center"/>
          </w:tcPr>
          <w:p>
            <w:pPr>
              <w:pStyle w:val="13"/>
            </w:pPr>
            <w:r>
              <w:t>保洁、安保服务考勤率</w:t>
            </w:r>
          </w:p>
        </w:tc>
        <w:tc>
          <w:tcPr>
            <w:tcW w:w="2551" w:type="dxa"/>
            <w:vAlign w:val="center"/>
          </w:tcPr>
          <w:p>
            <w:pPr>
              <w:pStyle w:val="13"/>
            </w:pPr>
            <w:r>
              <w:t>═100%</w:t>
            </w:r>
          </w:p>
        </w:tc>
        <w:tc>
          <w:tcPr>
            <w:tcW w:w="2268" w:type="dxa"/>
            <w:vAlign w:val="center"/>
          </w:tcPr>
          <w:p>
            <w:pPr>
              <w:pStyle w:val="13"/>
            </w:pPr>
            <w:r>
              <w:t>考勤表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实际支出成本与计划支出成本的情况</w:t>
            </w:r>
          </w:p>
        </w:tc>
        <w:tc>
          <w:tcPr>
            <w:tcW w:w="2551" w:type="dxa"/>
            <w:vAlign w:val="center"/>
          </w:tcPr>
          <w:p>
            <w:pPr>
              <w:pStyle w:val="13"/>
            </w:pPr>
            <w:r>
              <w:t>≦25万元</w:t>
            </w:r>
          </w:p>
        </w:tc>
        <w:tc>
          <w:tcPr>
            <w:tcW w:w="2268" w:type="dxa"/>
            <w:vAlign w:val="center"/>
          </w:tcPr>
          <w:p>
            <w:pPr>
              <w:pStyle w:val="13"/>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图书馆硬件设施水平</w:t>
            </w:r>
          </w:p>
        </w:tc>
        <w:tc>
          <w:tcPr>
            <w:tcW w:w="2835" w:type="dxa"/>
            <w:vAlign w:val="center"/>
          </w:tcPr>
          <w:p>
            <w:pPr>
              <w:pStyle w:val="13"/>
            </w:pPr>
            <w:r>
              <w:t>图书馆硬件设施水平得到提高</w:t>
            </w:r>
          </w:p>
        </w:tc>
        <w:tc>
          <w:tcPr>
            <w:tcW w:w="2551" w:type="dxa"/>
            <w:vAlign w:val="center"/>
          </w:tcPr>
          <w:p>
            <w:pPr>
              <w:pStyle w:val="13"/>
            </w:pPr>
            <w:r>
              <w:t>达到评估标准</w:t>
            </w:r>
          </w:p>
        </w:tc>
        <w:tc>
          <w:tcPr>
            <w:tcW w:w="2268" w:type="dxa"/>
            <w:vAlign w:val="center"/>
          </w:tcPr>
          <w:p>
            <w:pPr>
              <w:pStyle w:val="13"/>
            </w:pPr>
            <w:r>
              <w:t>评估定级标准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办公设备使用年限</w:t>
            </w:r>
          </w:p>
        </w:tc>
        <w:tc>
          <w:tcPr>
            <w:tcW w:w="2835" w:type="dxa"/>
            <w:vAlign w:val="center"/>
          </w:tcPr>
          <w:p>
            <w:pPr>
              <w:pStyle w:val="13"/>
            </w:pPr>
            <w:r>
              <w:t>办公设备使用期限</w:t>
            </w:r>
          </w:p>
        </w:tc>
        <w:tc>
          <w:tcPr>
            <w:tcW w:w="2551" w:type="dxa"/>
            <w:vAlign w:val="center"/>
          </w:tcPr>
          <w:p>
            <w:pPr>
              <w:pStyle w:val="13"/>
            </w:pPr>
            <w:r>
              <w:t>≥6年</w:t>
            </w:r>
          </w:p>
        </w:tc>
        <w:tc>
          <w:tcPr>
            <w:tcW w:w="2268" w:type="dxa"/>
            <w:vAlign w:val="center"/>
          </w:tcPr>
          <w:p>
            <w:pPr>
              <w:pStyle w:val="13"/>
            </w:pPr>
            <w:r>
              <w:t>固定资产使用年限标准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服务群体满意度</w:t>
            </w:r>
          </w:p>
        </w:tc>
        <w:tc>
          <w:tcPr>
            <w:tcW w:w="2835" w:type="dxa"/>
            <w:vAlign w:val="center"/>
          </w:tcPr>
          <w:p>
            <w:pPr>
              <w:pStyle w:val="13"/>
            </w:pPr>
            <w:r>
              <w:t>服务群体满意度</w:t>
            </w:r>
          </w:p>
        </w:tc>
        <w:tc>
          <w:tcPr>
            <w:tcW w:w="2551" w:type="dxa"/>
            <w:vAlign w:val="center"/>
          </w:tcPr>
          <w:p>
            <w:pPr>
              <w:pStyle w:val="13"/>
            </w:pPr>
            <w:r>
              <w:t>≥90%</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3、关于提前下达2022年省级“三馆一站”免费开放补助资金的通知-冀财教（2021）155号绩效目标表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1.通过开展阅读推广、宣传活动不少于2场次等工作，进一步丰富读者阅读活动。</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活动场次</w:t>
            </w:r>
          </w:p>
        </w:tc>
        <w:tc>
          <w:tcPr>
            <w:tcW w:w="2835" w:type="dxa"/>
            <w:vAlign w:val="center"/>
          </w:tcPr>
          <w:p>
            <w:pPr>
              <w:pStyle w:val="13"/>
            </w:pPr>
            <w:r>
              <w:t>反映开展阅读推广宣传活动场次</w:t>
            </w:r>
          </w:p>
        </w:tc>
        <w:tc>
          <w:tcPr>
            <w:tcW w:w="2551" w:type="dxa"/>
            <w:vAlign w:val="center"/>
          </w:tcPr>
          <w:p>
            <w:pPr>
              <w:pStyle w:val="13"/>
            </w:pPr>
            <w:r>
              <w:t>≥2场次</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人数</w:t>
            </w:r>
          </w:p>
        </w:tc>
        <w:tc>
          <w:tcPr>
            <w:tcW w:w="2835" w:type="dxa"/>
            <w:vAlign w:val="center"/>
          </w:tcPr>
          <w:p>
            <w:pPr>
              <w:pStyle w:val="13"/>
            </w:pPr>
            <w:r>
              <w:t>组织开展阅读推广宣传活动参与人数</w:t>
            </w:r>
          </w:p>
        </w:tc>
        <w:tc>
          <w:tcPr>
            <w:tcW w:w="2551" w:type="dxa"/>
            <w:vAlign w:val="center"/>
          </w:tcPr>
          <w:p>
            <w:pPr>
              <w:pStyle w:val="13"/>
            </w:pPr>
            <w:r>
              <w:t>≥300人次</w:t>
            </w:r>
          </w:p>
        </w:tc>
        <w:tc>
          <w:tcPr>
            <w:tcW w:w="2268" w:type="dxa"/>
            <w:vAlign w:val="center"/>
          </w:tcPr>
          <w:p>
            <w:pPr>
              <w:pStyle w:val="13"/>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维修维护合格率</w:t>
            </w:r>
          </w:p>
        </w:tc>
        <w:tc>
          <w:tcPr>
            <w:tcW w:w="2835" w:type="dxa"/>
            <w:vAlign w:val="center"/>
          </w:tcPr>
          <w:p>
            <w:pPr>
              <w:pStyle w:val="13"/>
            </w:pPr>
            <w:r>
              <w:t>反映设备维修维护情况</w:t>
            </w:r>
          </w:p>
        </w:tc>
        <w:tc>
          <w:tcPr>
            <w:tcW w:w="2551" w:type="dxa"/>
            <w:vAlign w:val="center"/>
          </w:tcPr>
          <w:p>
            <w:pPr>
              <w:pStyle w:val="13"/>
            </w:pPr>
            <w:r>
              <w:t>═100百分比</w:t>
            </w:r>
          </w:p>
        </w:tc>
        <w:tc>
          <w:tcPr>
            <w:tcW w:w="2268" w:type="dxa"/>
            <w:vAlign w:val="center"/>
          </w:tcPr>
          <w:p>
            <w:pPr>
              <w:pStyle w:val="13"/>
            </w:pPr>
            <w:r>
              <w:t>维修单据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提升率</w:t>
            </w:r>
          </w:p>
        </w:tc>
        <w:tc>
          <w:tcPr>
            <w:tcW w:w="2835" w:type="dxa"/>
            <w:vAlign w:val="center"/>
          </w:tcPr>
          <w:p>
            <w:pPr>
              <w:pStyle w:val="13"/>
            </w:pPr>
            <w:r>
              <w:t>2022年到馆借阅人次比去年借阅人次提升率</w:t>
            </w:r>
          </w:p>
        </w:tc>
        <w:tc>
          <w:tcPr>
            <w:tcW w:w="2551" w:type="dxa"/>
            <w:vAlign w:val="center"/>
          </w:tcPr>
          <w:p>
            <w:pPr>
              <w:pStyle w:val="13"/>
            </w:pPr>
            <w:r>
              <w:t>≥10百分比</w:t>
            </w:r>
          </w:p>
        </w:tc>
        <w:tc>
          <w:tcPr>
            <w:tcW w:w="2268" w:type="dxa"/>
            <w:vAlign w:val="center"/>
          </w:tcPr>
          <w:p>
            <w:pPr>
              <w:pStyle w:val="13"/>
            </w:pPr>
            <w:r>
              <w:t>借阅系统数据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反映项目完成时间</w:t>
            </w:r>
          </w:p>
        </w:tc>
        <w:tc>
          <w:tcPr>
            <w:tcW w:w="2551" w:type="dxa"/>
            <w:vAlign w:val="center"/>
          </w:tcPr>
          <w:p>
            <w:pPr>
              <w:pStyle w:val="13"/>
            </w:pPr>
            <w:r>
              <w:t>≦12月份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反映实际支出是否超出预算</w:t>
            </w:r>
          </w:p>
        </w:tc>
        <w:tc>
          <w:tcPr>
            <w:tcW w:w="2551" w:type="dxa"/>
            <w:vAlign w:val="center"/>
          </w:tcPr>
          <w:p>
            <w:pPr>
              <w:pStyle w:val="13"/>
            </w:pPr>
            <w:r>
              <w:t>≦2万元</w:t>
            </w:r>
          </w:p>
        </w:tc>
        <w:tc>
          <w:tcPr>
            <w:tcW w:w="2268" w:type="dxa"/>
            <w:vAlign w:val="center"/>
          </w:tcPr>
          <w:p>
            <w:pPr>
              <w:pStyle w:val="13"/>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活动覆盖率</w:t>
            </w:r>
          </w:p>
        </w:tc>
        <w:tc>
          <w:tcPr>
            <w:tcW w:w="2835" w:type="dxa"/>
            <w:vAlign w:val="center"/>
          </w:tcPr>
          <w:p>
            <w:pPr>
              <w:pStyle w:val="13"/>
            </w:pPr>
            <w:r>
              <w:t>组织阅读推广宣传活动实际参与人数与计划参与人数的比率</w:t>
            </w:r>
          </w:p>
        </w:tc>
        <w:tc>
          <w:tcPr>
            <w:tcW w:w="2551" w:type="dxa"/>
            <w:vAlign w:val="center"/>
          </w:tcPr>
          <w:p>
            <w:pPr>
              <w:pStyle w:val="13"/>
            </w:pPr>
            <w:r>
              <w:t>≥90百分比</w:t>
            </w:r>
          </w:p>
        </w:tc>
        <w:tc>
          <w:tcPr>
            <w:tcW w:w="2268" w:type="dxa"/>
            <w:vAlign w:val="center"/>
          </w:tcPr>
          <w:p>
            <w:pPr>
              <w:pStyle w:val="13"/>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读者满意度</w:t>
            </w:r>
          </w:p>
        </w:tc>
        <w:tc>
          <w:tcPr>
            <w:tcW w:w="2835" w:type="dxa"/>
            <w:vAlign w:val="center"/>
          </w:tcPr>
          <w:p>
            <w:pPr>
              <w:pStyle w:val="13"/>
            </w:pPr>
            <w:r>
              <w:t>调查中服务群体满意和较满意的数量占调查总人数的比率</w:t>
            </w:r>
          </w:p>
        </w:tc>
        <w:tc>
          <w:tcPr>
            <w:tcW w:w="2551" w:type="dxa"/>
            <w:vAlign w:val="center"/>
          </w:tcPr>
          <w:p>
            <w:pPr>
              <w:pStyle w:val="13"/>
            </w:pPr>
            <w:r>
              <w:t>≥0.9百分比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4、关于提前下达2022年中央补助地方美术馆公共图书馆文化馆（站）免费开放补助资金预算的通知-冀财教（2021）141号绩效目标表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1.通过购置图书不少于1500册、开展阅读推广、宣传活动不少于10场，公共电子阅览室服务及设备运行维护，业务活动用房小型修缮等活动，进一步完善软件硬件设施，丰富读者阅读活动。</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图书数量</w:t>
            </w:r>
          </w:p>
        </w:tc>
        <w:tc>
          <w:tcPr>
            <w:tcW w:w="2835" w:type="dxa"/>
            <w:vAlign w:val="center"/>
          </w:tcPr>
          <w:p>
            <w:pPr>
              <w:pStyle w:val="13"/>
            </w:pPr>
            <w:r>
              <w:t>反应图书购置数量</w:t>
            </w:r>
          </w:p>
        </w:tc>
        <w:tc>
          <w:tcPr>
            <w:tcW w:w="2551" w:type="dxa"/>
            <w:vAlign w:val="center"/>
          </w:tcPr>
          <w:p>
            <w:pPr>
              <w:pStyle w:val="13"/>
            </w:pPr>
            <w:r>
              <w:t>≥1500册</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人数</w:t>
            </w:r>
          </w:p>
        </w:tc>
        <w:tc>
          <w:tcPr>
            <w:tcW w:w="2835" w:type="dxa"/>
            <w:vAlign w:val="center"/>
          </w:tcPr>
          <w:p>
            <w:pPr>
              <w:pStyle w:val="13"/>
            </w:pPr>
            <w:r>
              <w:t>组织开展阅读推广宣传活动参与人数</w:t>
            </w:r>
          </w:p>
        </w:tc>
        <w:tc>
          <w:tcPr>
            <w:tcW w:w="2551" w:type="dxa"/>
            <w:vAlign w:val="center"/>
          </w:tcPr>
          <w:p>
            <w:pPr>
              <w:pStyle w:val="13"/>
            </w:pPr>
            <w:r>
              <w:t>≥1000人次</w:t>
            </w:r>
          </w:p>
        </w:tc>
        <w:tc>
          <w:tcPr>
            <w:tcW w:w="2268" w:type="dxa"/>
            <w:vAlign w:val="center"/>
          </w:tcPr>
          <w:p>
            <w:pPr>
              <w:pStyle w:val="13"/>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场次</w:t>
            </w:r>
          </w:p>
        </w:tc>
        <w:tc>
          <w:tcPr>
            <w:tcW w:w="2835" w:type="dxa"/>
            <w:vAlign w:val="center"/>
          </w:tcPr>
          <w:p>
            <w:pPr>
              <w:pStyle w:val="13"/>
            </w:pPr>
            <w:r>
              <w:t>反映组织开展阅读推广宣传活动场次</w:t>
            </w:r>
          </w:p>
        </w:tc>
        <w:tc>
          <w:tcPr>
            <w:tcW w:w="2551" w:type="dxa"/>
            <w:vAlign w:val="center"/>
          </w:tcPr>
          <w:p>
            <w:pPr>
              <w:pStyle w:val="13"/>
            </w:pPr>
            <w:r>
              <w:t>≥10场次</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图书正版率</w:t>
            </w:r>
          </w:p>
        </w:tc>
        <w:tc>
          <w:tcPr>
            <w:tcW w:w="2835" w:type="dxa"/>
            <w:vAlign w:val="center"/>
          </w:tcPr>
          <w:p>
            <w:pPr>
              <w:pStyle w:val="13"/>
            </w:pPr>
            <w:r>
              <w:t>反映购置图书的质量</w:t>
            </w:r>
          </w:p>
        </w:tc>
        <w:tc>
          <w:tcPr>
            <w:tcW w:w="2551" w:type="dxa"/>
            <w:vAlign w:val="center"/>
          </w:tcPr>
          <w:p>
            <w:pPr>
              <w:pStyle w:val="13"/>
            </w:pPr>
            <w:r>
              <w:t>═100百分比</w:t>
            </w:r>
          </w:p>
        </w:tc>
        <w:tc>
          <w:tcPr>
            <w:tcW w:w="2268" w:type="dxa"/>
            <w:vAlign w:val="center"/>
          </w:tcPr>
          <w:p>
            <w:pPr>
              <w:pStyle w:val="13"/>
            </w:pPr>
            <w:r>
              <w:t>图书版权证明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提升率</w:t>
            </w:r>
          </w:p>
        </w:tc>
        <w:tc>
          <w:tcPr>
            <w:tcW w:w="2835" w:type="dxa"/>
            <w:vAlign w:val="center"/>
          </w:tcPr>
          <w:p>
            <w:pPr>
              <w:pStyle w:val="13"/>
            </w:pPr>
            <w:r>
              <w:t>2022年到馆借阅人次比去年借阅人次提升率</w:t>
            </w:r>
          </w:p>
        </w:tc>
        <w:tc>
          <w:tcPr>
            <w:tcW w:w="2551" w:type="dxa"/>
            <w:vAlign w:val="center"/>
          </w:tcPr>
          <w:p>
            <w:pPr>
              <w:pStyle w:val="13"/>
            </w:pPr>
            <w:r>
              <w:t>≥10百分比</w:t>
            </w:r>
          </w:p>
        </w:tc>
        <w:tc>
          <w:tcPr>
            <w:tcW w:w="2268" w:type="dxa"/>
            <w:vAlign w:val="center"/>
          </w:tcPr>
          <w:p>
            <w:pPr>
              <w:pStyle w:val="13"/>
            </w:pPr>
            <w:r>
              <w:t>借阅系统数据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维修维护</w:t>
            </w:r>
          </w:p>
        </w:tc>
        <w:tc>
          <w:tcPr>
            <w:tcW w:w="2835" w:type="dxa"/>
            <w:vAlign w:val="center"/>
          </w:tcPr>
          <w:p>
            <w:pPr>
              <w:pStyle w:val="13"/>
            </w:pPr>
            <w:r>
              <w:t>反映设备维修维护情况</w:t>
            </w:r>
          </w:p>
        </w:tc>
        <w:tc>
          <w:tcPr>
            <w:tcW w:w="2551" w:type="dxa"/>
            <w:vAlign w:val="center"/>
          </w:tcPr>
          <w:p>
            <w:pPr>
              <w:pStyle w:val="13"/>
            </w:pPr>
            <w:r>
              <w:t>═100百分比</w:t>
            </w:r>
          </w:p>
        </w:tc>
        <w:tc>
          <w:tcPr>
            <w:tcW w:w="2268" w:type="dxa"/>
            <w:vAlign w:val="center"/>
          </w:tcPr>
          <w:p>
            <w:pPr>
              <w:pStyle w:val="13"/>
            </w:pPr>
            <w:r>
              <w:t>维修单据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反映项目的完成时间</w:t>
            </w:r>
          </w:p>
        </w:tc>
        <w:tc>
          <w:tcPr>
            <w:tcW w:w="2551" w:type="dxa"/>
            <w:vAlign w:val="center"/>
          </w:tcPr>
          <w:p>
            <w:pPr>
              <w:pStyle w:val="13"/>
            </w:pPr>
            <w:r>
              <w:t>═12月份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反映实际支出是否超出预算</w:t>
            </w:r>
          </w:p>
        </w:tc>
        <w:tc>
          <w:tcPr>
            <w:tcW w:w="2551" w:type="dxa"/>
            <w:vAlign w:val="center"/>
          </w:tcPr>
          <w:p>
            <w:pPr>
              <w:pStyle w:val="13"/>
            </w:pPr>
            <w:r>
              <w:t>≦12万元</w:t>
            </w:r>
          </w:p>
        </w:tc>
        <w:tc>
          <w:tcPr>
            <w:tcW w:w="2268" w:type="dxa"/>
            <w:vAlign w:val="center"/>
          </w:tcPr>
          <w:p>
            <w:pPr>
              <w:pStyle w:val="13"/>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活动覆盖率</w:t>
            </w:r>
          </w:p>
        </w:tc>
        <w:tc>
          <w:tcPr>
            <w:tcW w:w="2835" w:type="dxa"/>
            <w:vAlign w:val="center"/>
          </w:tcPr>
          <w:p>
            <w:pPr>
              <w:pStyle w:val="13"/>
            </w:pPr>
            <w:r>
              <w:t>反映组织阅读推广宣传活动实际参与人数与计划参与人数的比率</w:t>
            </w:r>
          </w:p>
        </w:tc>
        <w:tc>
          <w:tcPr>
            <w:tcW w:w="2551" w:type="dxa"/>
            <w:vAlign w:val="center"/>
          </w:tcPr>
          <w:p>
            <w:pPr>
              <w:pStyle w:val="13"/>
            </w:pPr>
            <w:r>
              <w:t>≥90百分比</w:t>
            </w:r>
          </w:p>
        </w:tc>
        <w:tc>
          <w:tcPr>
            <w:tcW w:w="2268" w:type="dxa"/>
            <w:vAlign w:val="center"/>
          </w:tcPr>
          <w:p>
            <w:pPr>
              <w:pStyle w:val="13"/>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满足读者阅读需求</w:t>
            </w:r>
          </w:p>
        </w:tc>
        <w:tc>
          <w:tcPr>
            <w:tcW w:w="2835" w:type="dxa"/>
            <w:vAlign w:val="center"/>
          </w:tcPr>
          <w:p>
            <w:pPr>
              <w:pStyle w:val="13"/>
            </w:pPr>
            <w:r>
              <w:t>反映是否满足读者的阅读需求</w:t>
            </w:r>
          </w:p>
        </w:tc>
        <w:tc>
          <w:tcPr>
            <w:tcW w:w="2551" w:type="dxa"/>
            <w:vAlign w:val="center"/>
          </w:tcPr>
          <w:p>
            <w:pPr>
              <w:pStyle w:val="13"/>
            </w:pPr>
            <w:r>
              <w:t>≥90百分比</w:t>
            </w:r>
          </w:p>
        </w:tc>
        <w:tc>
          <w:tcPr>
            <w:tcW w:w="2268"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读者满意度</w:t>
            </w:r>
          </w:p>
        </w:tc>
        <w:tc>
          <w:tcPr>
            <w:tcW w:w="2835" w:type="dxa"/>
            <w:vAlign w:val="center"/>
          </w:tcPr>
          <w:p>
            <w:pPr>
              <w:pStyle w:val="13"/>
            </w:pPr>
            <w:r>
              <w:t>调查中服务群体满意和较满意的数量占调查总人数的比率</w:t>
            </w:r>
          </w:p>
        </w:tc>
        <w:tc>
          <w:tcPr>
            <w:tcW w:w="2551" w:type="dxa"/>
            <w:vAlign w:val="center"/>
          </w:tcPr>
          <w:p>
            <w:pPr>
              <w:pStyle w:val="13"/>
            </w:pPr>
            <w:r>
              <w:t>≥0.9百分比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5、图书编目项目资金绩效目标表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1.通过开展图书编目工作，达到廊坊市公共文化服务体系建设领导小组要求的人均藏书1册指标。</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图书新增编目数量</w:t>
            </w:r>
          </w:p>
        </w:tc>
        <w:tc>
          <w:tcPr>
            <w:tcW w:w="2835" w:type="dxa"/>
            <w:vAlign w:val="center"/>
          </w:tcPr>
          <w:p>
            <w:pPr>
              <w:pStyle w:val="13"/>
            </w:pPr>
            <w:r>
              <w:t>反映图书新增编目数量</w:t>
            </w:r>
          </w:p>
        </w:tc>
        <w:tc>
          <w:tcPr>
            <w:tcW w:w="2551" w:type="dxa"/>
            <w:vAlign w:val="center"/>
          </w:tcPr>
          <w:p>
            <w:pPr>
              <w:pStyle w:val="13"/>
            </w:pPr>
            <w:r>
              <w:t>≥6万册</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提升率</w:t>
            </w:r>
          </w:p>
        </w:tc>
        <w:tc>
          <w:tcPr>
            <w:tcW w:w="2835" w:type="dxa"/>
            <w:vAlign w:val="center"/>
          </w:tcPr>
          <w:p>
            <w:pPr>
              <w:pStyle w:val="13"/>
            </w:pPr>
            <w:r>
              <w:t>反映2022年到馆借阅人次比去年借阅人次提升率</w:t>
            </w:r>
          </w:p>
        </w:tc>
        <w:tc>
          <w:tcPr>
            <w:tcW w:w="2551" w:type="dxa"/>
            <w:vAlign w:val="center"/>
          </w:tcPr>
          <w:p>
            <w:pPr>
              <w:pStyle w:val="13"/>
            </w:pPr>
            <w:r>
              <w:t>≥10百分比</w:t>
            </w:r>
          </w:p>
        </w:tc>
        <w:tc>
          <w:tcPr>
            <w:tcW w:w="2268" w:type="dxa"/>
            <w:vAlign w:val="center"/>
          </w:tcPr>
          <w:p>
            <w:pPr>
              <w:pStyle w:val="13"/>
            </w:pPr>
            <w:r>
              <w:t>后台数据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完成时间</w:t>
            </w:r>
          </w:p>
        </w:tc>
        <w:tc>
          <w:tcPr>
            <w:tcW w:w="2835" w:type="dxa"/>
            <w:vAlign w:val="center"/>
          </w:tcPr>
          <w:p>
            <w:pPr>
              <w:pStyle w:val="13"/>
            </w:pPr>
            <w:r>
              <w:t>反映图书编目的完成时间</w:t>
            </w:r>
          </w:p>
        </w:tc>
        <w:tc>
          <w:tcPr>
            <w:tcW w:w="2551" w:type="dxa"/>
            <w:vAlign w:val="center"/>
          </w:tcPr>
          <w:p>
            <w:pPr>
              <w:pStyle w:val="13"/>
            </w:pPr>
            <w:r>
              <w:t>≦6月份</w:t>
            </w:r>
          </w:p>
        </w:tc>
        <w:tc>
          <w:tcPr>
            <w:tcW w:w="2268" w:type="dxa"/>
            <w:vAlign w:val="center"/>
          </w:tcPr>
          <w:p>
            <w:pPr>
              <w:pStyle w:val="13"/>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反映实际支出是否超出预算</w:t>
            </w:r>
          </w:p>
        </w:tc>
        <w:tc>
          <w:tcPr>
            <w:tcW w:w="2551" w:type="dxa"/>
            <w:vAlign w:val="center"/>
          </w:tcPr>
          <w:p>
            <w:pPr>
              <w:pStyle w:val="13"/>
            </w:pPr>
            <w:r>
              <w:t>≦13万元</w:t>
            </w:r>
          </w:p>
        </w:tc>
        <w:tc>
          <w:tcPr>
            <w:tcW w:w="2268" w:type="dxa"/>
            <w:vAlign w:val="center"/>
          </w:tcPr>
          <w:p>
            <w:pPr>
              <w:pStyle w:val="13"/>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提升图书馆服务的社会影响力</w:t>
            </w:r>
          </w:p>
        </w:tc>
        <w:tc>
          <w:tcPr>
            <w:tcW w:w="2835" w:type="dxa"/>
            <w:vAlign w:val="center"/>
          </w:tcPr>
          <w:p>
            <w:pPr>
              <w:pStyle w:val="13"/>
            </w:pPr>
            <w:r>
              <w:t>反映图书馆社会服务的社会影响力</w:t>
            </w:r>
          </w:p>
        </w:tc>
        <w:tc>
          <w:tcPr>
            <w:tcW w:w="2551" w:type="dxa"/>
            <w:vAlign w:val="center"/>
          </w:tcPr>
          <w:p>
            <w:pPr>
              <w:pStyle w:val="13"/>
            </w:pPr>
            <w:r>
              <w:t>评价提升</w:t>
            </w:r>
          </w:p>
        </w:tc>
        <w:tc>
          <w:tcPr>
            <w:tcW w:w="2268"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满足广大读者的阅读需求</w:t>
            </w:r>
          </w:p>
        </w:tc>
        <w:tc>
          <w:tcPr>
            <w:tcW w:w="2835" w:type="dxa"/>
            <w:vAlign w:val="center"/>
          </w:tcPr>
          <w:p>
            <w:pPr>
              <w:pStyle w:val="13"/>
            </w:pPr>
            <w:r>
              <w:t>反映项目是否满足广大读者的阅读需求</w:t>
            </w:r>
          </w:p>
        </w:tc>
        <w:tc>
          <w:tcPr>
            <w:tcW w:w="2551" w:type="dxa"/>
            <w:vAlign w:val="center"/>
          </w:tcPr>
          <w:p>
            <w:pPr>
              <w:pStyle w:val="13"/>
            </w:pPr>
            <w:r>
              <w:t>评价满足</w:t>
            </w:r>
          </w:p>
          <w:p>
            <w:pPr>
              <w:pStyle w:val="13"/>
            </w:pPr>
          </w:p>
        </w:tc>
        <w:tc>
          <w:tcPr>
            <w:tcW w:w="2268" w:type="dxa"/>
            <w:vAlign w:val="center"/>
          </w:tcPr>
          <w:p>
            <w:pPr>
              <w:pStyle w:val="13"/>
            </w:pPr>
            <w: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读者满意度</w:t>
            </w:r>
          </w:p>
        </w:tc>
        <w:tc>
          <w:tcPr>
            <w:tcW w:w="2835" w:type="dxa"/>
            <w:vAlign w:val="center"/>
          </w:tcPr>
          <w:p>
            <w:pPr>
              <w:pStyle w:val="13"/>
            </w:pPr>
            <w:r>
              <w:t>调查中服务群体满意和较满意的数量占调查总人数的比率</w:t>
            </w:r>
          </w:p>
        </w:tc>
        <w:tc>
          <w:tcPr>
            <w:tcW w:w="2551" w:type="dxa"/>
            <w:vAlign w:val="center"/>
          </w:tcPr>
          <w:p>
            <w:pPr>
              <w:pStyle w:val="13"/>
            </w:pPr>
            <w:r>
              <w:t>≥0.9百分比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6、县级免费开放配套资金绩效目标表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1.通过购置图书1500册以上，开展阅读推广宣传活动10场次，开展阅读推广宣传活动参与人数超过1000人次等，进一步满足广大读者的阅读需求。</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图书</w:t>
            </w:r>
          </w:p>
        </w:tc>
        <w:tc>
          <w:tcPr>
            <w:tcW w:w="2835" w:type="dxa"/>
            <w:vAlign w:val="center"/>
          </w:tcPr>
          <w:p>
            <w:pPr>
              <w:pStyle w:val="13"/>
            </w:pPr>
            <w:r>
              <w:t>图书购置数量</w:t>
            </w:r>
          </w:p>
        </w:tc>
        <w:tc>
          <w:tcPr>
            <w:tcW w:w="2551" w:type="dxa"/>
            <w:vAlign w:val="center"/>
          </w:tcPr>
          <w:p>
            <w:pPr>
              <w:pStyle w:val="13"/>
            </w:pPr>
            <w:r>
              <w:t>≥1500册</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组织开展阅读推广场次</w:t>
            </w:r>
          </w:p>
        </w:tc>
        <w:tc>
          <w:tcPr>
            <w:tcW w:w="2835" w:type="dxa"/>
            <w:vAlign w:val="center"/>
          </w:tcPr>
          <w:p>
            <w:pPr>
              <w:pStyle w:val="13"/>
            </w:pPr>
            <w:r>
              <w:t>组织开展阅读推广宣传活动场次</w:t>
            </w:r>
          </w:p>
        </w:tc>
        <w:tc>
          <w:tcPr>
            <w:tcW w:w="2551" w:type="dxa"/>
            <w:vAlign w:val="center"/>
          </w:tcPr>
          <w:p>
            <w:pPr>
              <w:pStyle w:val="13"/>
            </w:pPr>
            <w:r>
              <w:t>≥10场次</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阅读推广活动参与人数</w:t>
            </w:r>
          </w:p>
        </w:tc>
        <w:tc>
          <w:tcPr>
            <w:tcW w:w="2835" w:type="dxa"/>
            <w:vAlign w:val="center"/>
          </w:tcPr>
          <w:p>
            <w:pPr>
              <w:pStyle w:val="13"/>
            </w:pPr>
            <w:r>
              <w:t>组织开展阅读推广宣传活动参与人数</w:t>
            </w:r>
          </w:p>
        </w:tc>
        <w:tc>
          <w:tcPr>
            <w:tcW w:w="2551" w:type="dxa"/>
            <w:vAlign w:val="center"/>
          </w:tcPr>
          <w:p>
            <w:pPr>
              <w:pStyle w:val="13"/>
            </w:pPr>
            <w:r>
              <w:t>≥1000人次</w:t>
            </w:r>
          </w:p>
        </w:tc>
        <w:tc>
          <w:tcPr>
            <w:tcW w:w="2268" w:type="dxa"/>
            <w:vAlign w:val="center"/>
          </w:tcPr>
          <w:p>
            <w:pPr>
              <w:pStyle w:val="13"/>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正版图书比例</w:t>
            </w:r>
          </w:p>
        </w:tc>
        <w:tc>
          <w:tcPr>
            <w:tcW w:w="2835" w:type="dxa"/>
            <w:vAlign w:val="center"/>
          </w:tcPr>
          <w:p>
            <w:pPr>
              <w:pStyle w:val="13"/>
            </w:pPr>
            <w:r>
              <w:t>正版图书占购置图书总量的比例</w:t>
            </w:r>
          </w:p>
        </w:tc>
        <w:tc>
          <w:tcPr>
            <w:tcW w:w="2551" w:type="dxa"/>
            <w:vAlign w:val="center"/>
          </w:tcPr>
          <w:p>
            <w:pPr>
              <w:pStyle w:val="13"/>
            </w:pPr>
            <w:r>
              <w:t>═100%</w:t>
            </w:r>
          </w:p>
        </w:tc>
        <w:tc>
          <w:tcPr>
            <w:tcW w:w="2268" w:type="dxa"/>
            <w:vAlign w:val="center"/>
          </w:tcPr>
          <w:p>
            <w:pPr>
              <w:pStyle w:val="13"/>
            </w:pPr>
            <w:r>
              <w:t>图书版权证明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维修维护</w:t>
            </w:r>
          </w:p>
        </w:tc>
        <w:tc>
          <w:tcPr>
            <w:tcW w:w="2835" w:type="dxa"/>
            <w:vAlign w:val="center"/>
          </w:tcPr>
          <w:p>
            <w:pPr>
              <w:pStyle w:val="13"/>
            </w:pPr>
            <w:r>
              <w:t>设备运行维修维护次数</w:t>
            </w:r>
          </w:p>
        </w:tc>
        <w:tc>
          <w:tcPr>
            <w:tcW w:w="2551" w:type="dxa"/>
            <w:vAlign w:val="center"/>
          </w:tcPr>
          <w:p>
            <w:pPr>
              <w:pStyle w:val="13"/>
            </w:pPr>
            <w:r>
              <w:t>≦5次</w:t>
            </w:r>
          </w:p>
        </w:tc>
        <w:tc>
          <w:tcPr>
            <w:tcW w:w="2268" w:type="dxa"/>
            <w:vAlign w:val="center"/>
          </w:tcPr>
          <w:p>
            <w:pPr>
              <w:pStyle w:val="13"/>
            </w:pPr>
            <w:r>
              <w:t>维修单据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设备正常运转率</w:t>
            </w:r>
          </w:p>
        </w:tc>
        <w:tc>
          <w:tcPr>
            <w:tcW w:w="2835" w:type="dxa"/>
            <w:vAlign w:val="center"/>
          </w:tcPr>
          <w:p>
            <w:pPr>
              <w:pStyle w:val="13"/>
            </w:pPr>
            <w:r>
              <w:t>图书馆设备正常运转率</w:t>
            </w:r>
          </w:p>
        </w:tc>
        <w:tc>
          <w:tcPr>
            <w:tcW w:w="2551" w:type="dxa"/>
            <w:vAlign w:val="center"/>
          </w:tcPr>
          <w:p>
            <w:pPr>
              <w:pStyle w:val="13"/>
            </w:pPr>
            <w:r>
              <w:t>═100%</w:t>
            </w:r>
          </w:p>
        </w:tc>
        <w:tc>
          <w:tcPr>
            <w:tcW w:w="2268" w:type="dxa"/>
            <w:vAlign w:val="center"/>
          </w:tcPr>
          <w:p>
            <w:pPr>
              <w:pStyle w:val="13"/>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图书采购完成时间</w:t>
            </w:r>
          </w:p>
        </w:tc>
        <w:tc>
          <w:tcPr>
            <w:tcW w:w="2835" w:type="dxa"/>
            <w:vAlign w:val="center"/>
          </w:tcPr>
          <w:p>
            <w:pPr>
              <w:pStyle w:val="13"/>
            </w:pPr>
            <w:r>
              <w:t>图书采购完成时间</w:t>
            </w:r>
          </w:p>
        </w:tc>
        <w:tc>
          <w:tcPr>
            <w:tcW w:w="2551" w:type="dxa"/>
            <w:vAlign w:val="center"/>
          </w:tcPr>
          <w:p>
            <w:pPr>
              <w:pStyle w:val="13"/>
            </w:pPr>
            <w:r>
              <w:t>≦12月份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设备维修响应时间</w:t>
            </w:r>
          </w:p>
        </w:tc>
        <w:tc>
          <w:tcPr>
            <w:tcW w:w="2835" w:type="dxa"/>
            <w:vAlign w:val="center"/>
          </w:tcPr>
          <w:p>
            <w:pPr>
              <w:pStyle w:val="13"/>
            </w:pPr>
            <w:r>
              <w:t>设备维修响应时间</w:t>
            </w:r>
          </w:p>
        </w:tc>
        <w:tc>
          <w:tcPr>
            <w:tcW w:w="2551" w:type="dxa"/>
            <w:vAlign w:val="center"/>
          </w:tcPr>
          <w:p>
            <w:pPr>
              <w:pStyle w:val="13"/>
            </w:pPr>
            <w:r>
              <w:t>≦1天</w:t>
            </w:r>
          </w:p>
        </w:tc>
        <w:tc>
          <w:tcPr>
            <w:tcW w:w="2268" w:type="dxa"/>
            <w:vAlign w:val="center"/>
          </w:tcPr>
          <w:p>
            <w:pPr>
              <w:pStyle w:val="13"/>
            </w:pPr>
            <w:r>
              <w:t>实际使用情况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设备维修完成时间</w:t>
            </w:r>
          </w:p>
        </w:tc>
        <w:tc>
          <w:tcPr>
            <w:tcW w:w="2835" w:type="dxa"/>
            <w:vAlign w:val="center"/>
          </w:tcPr>
          <w:p>
            <w:pPr>
              <w:pStyle w:val="13"/>
            </w:pPr>
            <w:r>
              <w:t>设备维修完成时间</w:t>
            </w:r>
          </w:p>
        </w:tc>
        <w:tc>
          <w:tcPr>
            <w:tcW w:w="2551" w:type="dxa"/>
            <w:vAlign w:val="center"/>
          </w:tcPr>
          <w:p>
            <w:pPr>
              <w:pStyle w:val="13"/>
            </w:pPr>
            <w:r>
              <w:t>≦30分钟</w:t>
            </w:r>
          </w:p>
        </w:tc>
        <w:tc>
          <w:tcPr>
            <w:tcW w:w="2268" w:type="dxa"/>
            <w:vAlign w:val="center"/>
          </w:tcPr>
          <w:p>
            <w:pPr>
              <w:pStyle w:val="13"/>
            </w:pPr>
            <w:r>
              <w:t>设备维修制度要求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图书购置</w:t>
            </w:r>
          </w:p>
        </w:tc>
        <w:tc>
          <w:tcPr>
            <w:tcW w:w="2835" w:type="dxa"/>
            <w:vAlign w:val="center"/>
          </w:tcPr>
          <w:p>
            <w:pPr>
              <w:pStyle w:val="13"/>
            </w:pPr>
            <w:r>
              <w:t>图书购置完成时间</w:t>
            </w:r>
          </w:p>
        </w:tc>
        <w:tc>
          <w:tcPr>
            <w:tcW w:w="2551" w:type="dxa"/>
            <w:vAlign w:val="center"/>
          </w:tcPr>
          <w:p>
            <w:pPr>
              <w:pStyle w:val="13"/>
            </w:pPr>
            <w:r>
              <w:t>≦6月份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实际支出成本与计划支出成本的情况</w:t>
            </w:r>
          </w:p>
        </w:tc>
        <w:tc>
          <w:tcPr>
            <w:tcW w:w="2551" w:type="dxa"/>
            <w:vAlign w:val="center"/>
          </w:tcPr>
          <w:p>
            <w:pPr>
              <w:pStyle w:val="13"/>
            </w:pPr>
            <w:r>
              <w:t>≦6万元</w:t>
            </w:r>
          </w:p>
        </w:tc>
        <w:tc>
          <w:tcPr>
            <w:tcW w:w="2268" w:type="dxa"/>
            <w:vAlign w:val="center"/>
          </w:tcPr>
          <w:p>
            <w:pPr>
              <w:pStyle w:val="13"/>
            </w:pPr>
            <w:r>
              <w:t>预算控制数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借阅提升率</w:t>
            </w:r>
          </w:p>
        </w:tc>
        <w:tc>
          <w:tcPr>
            <w:tcW w:w="2835" w:type="dxa"/>
            <w:vAlign w:val="center"/>
          </w:tcPr>
          <w:p>
            <w:pPr>
              <w:pStyle w:val="13"/>
            </w:pPr>
            <w:r>
              <w:t>2022年到馆借阅人次比去年借阅人次提升率</w:t>
            </w:r>
          </w:p>
        </w:tc>
        <w:tc>
          <w:tcPr>
            <w:tcW w:w="2551" w:type="dxa"/>
            <w:vAlign w:val="center"/>
          </w:tcPr>
          <w:p>
            <w:pPr>
              <w:pStyle w:val="13"/>
            </w:pPr>
            <w:r>
              <w:t>≥10百分比</w:t>
            </w:r>
          </w:p>
        </w:tc>
        <w:tc>
          <w:tcPr>
            <w:tcW w:w="2268" w:type="dxa"/>
            <w:vAlign w:val="center"/>
          </w:tcPr>
          <w:p>
            <w:pPr>
              <w:pStyle w:val="13"/>
            </w:pPr>
            <w:r>
              <w:t>借阅系统数据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社会效益指标</w:t>
            </w:r>
          </w:p>
        </w:tc>
        <w:tc>
          <w:tcPr>
            <w:tcW w:w="2835" w:type="dxa"/>
            <w:vAlign w:val="center"/>
          </w:tcPr>
          <w:p>
            <w:pPr>
              <w:pStyle w:val="13"/>
            </w:pPr>
            <w:r>
              <w:t>阅读推广活动覆盖率</w:t>
            </w:r>
          </w:p>
        </w:tc>
        <w:tc>
          <w:tcPr>
            <w:tcW w:w="2835" w:type="dxa"/>
            <w:vAlign w:val="center"/>
          </w:tcPr>
          <w:p>
            <w:pPr>
              <w:pStyle w:val="13"/>
            </w:pPr>
            <w:r>
              <w:t>反映阅读推广宣传活动参与人数与计划参与人数的比率</w:t>
            </w:r>
          </w:p>
        </w:tc>
        <w:tc>
          <w:tcPr>
            <w:tcW w:w="2551" w:type="dxa"/>
            <w:vAlign w:val="center"/>
          </w:tcPr>
          <w:p>
            <w:pPr>
              <w:pStyle w:val="13"/>
            </w:pPr>
            <w:r>
              <w:t>≥90百分比</w:t>
            </w:r>
          </w:p>
        </w:tc>
        <w:tc>
          <w:tcPr>
            <w:tcW w:w="2268" w:type="dxa"/>
            <w:vAlign w:val="center"/>
          </w:tcPr>
          <w:p>
            <w:pPr>
              <w:pStyle w:val="13"/>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阅读推广活动期限</w:t>
            </w:r>
          </w:p>
        </w:tc>
        <w:tc>
          <w:tcPr>
            <w:tcW w:w="2835" w:type="dxa"/>
            <w:vAlign w:val="center"/>
          </w:tcPr>
          <w:p>
            <w:pPr>
              <w:pStyle w:val="13"/>
            </w:pPr>
            <w:r>
              <w:t>阅读推广活动期限</w:t>
            </w:r>
          </w:p>
        </w:tc>
        <w:tc>
          <w:tcPr>
            <w:tcW w:w="2551" w:type="dxa"/>
            <w:vAlign w:val="center"/>
          </w:tcPr>
          <w:p>
            <w:pPr>
              <w:pStyle w:val="13"/>
            </w:pPr>
            <w:r>
              <w:t>1年</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读者满意度</w:t>
            </w:r>
          </w:p>
        </w:tc>
        <w:tc>
          <w:tcPr>
            <w:tcW w:w="2835" w:type="dxa"/>
            <w:vAlign w:val="center"/>
          </w:tcPr>
          <w:p>
            <w:pPr>
              <w:pStyle w:val="13"/>
            </w:pPr>
            <w:r>
              <w:t>读者满意度</w:t>
            </w:r>
          </w:p>
        </w:tc>
        <w:tc>
          <w:tcPr>
            <w:tcW w:w="2551" w:type="dxa"/>
            <w:vAlign w:val="center"/>
          </w:tcPr>
          <w:p>
            <w:pPr>
              <w:pStyle w:val="13"/>
            </w:pPr>
            <w:r>
              <w:t>≥0.9百分比</w:t>
            </w:r>
          </w:p>
        </w:tc>
        <w:tc>
          <w:tcPr>
            <w:tcW w:w="2268" w:type="dxa"/>
            <w:vAlign w:val="center"/>
          </w:tcPr>
          <w:p>
            <w:pPr>
              <w:pStyle w:val="13"/>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7、阅读推广活动经费绩效目标表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3"/>
            </w:pPr>
            <w:r>
              <w:t>1.通过组织开展一系列阅读推广活动，达到国家2017年中部地区县级图书馆二级馆评估标准和《</w:t>
            </w:r>
            <w:r>
              <w:rPr>
                <w:rFonts w:hint="eastAsia"/>
                <w:lang w:eastAsia="zh-CN"/>
              </w:rPr>
              <w:t>中华人民共和国</w:t>
            </w:r>
            <w:r>
              <w:t>公共图书馆法》要求。</w:t>
            </w:r>
          </w:p>
        </w:tc>
      </w:tr>
    </w:tbl>
    <w:p>
      <w:pPr>
        <w:spacing w:line="2" w:lineRule="exact"/>
        <w:jc w:val="center"/>
      </w:pP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产出指标</w:t>
            </w:r>
          </w:p>
        </w:tc>
        <w:tc>
          <w:tcPr>
            <w:tcW w:w="2268" w:type="dxa"/>
            <w:vAlign w:val="center"/>
          </w:tcPr>
          <w:p>
            <w:pPr>
              <w:pStyle w:val="13"/>
            </w:pPr>
            <w:r>
              <w:t>数量指标</w:t>
            </w:r>
          </w:p>
        </w:tc>
        <w:tc>
          <w:tcPr>
            <w:tcW w:w="2835" w:type="dxa"/>
            <w:vAlign w:val="center"/>
          </w:tcPr>
          <w:p>
            <w:pPr>
              <w:pStyle w:val="13"/>
            </w:pPr>
            <w:r>
              <w:t>组织500人以上阅读推广活动场次</w:t>
            </w:r>
          </w:p>
        </w:tc>
        <w:tc>
          <w:tcPr>
            <w:tcW w:w="2835" w:type="dxa"/>
            <w:vAlign w:val="center"/>
          </w:tcPr>
          <w:p>
            <w:pPr>
              <w:pStyle w:val="13"/>
            </w:pPr>
            <w:r>
              <w:t>组织500人以上阅读推广活动场次</w:t>
            </w:r>
          </w:p>
        </w:tc>
        <w:tc>
          <w:tcPr>
            <w:tcW w:w="2551" w:type="dxa"/>
            <w:vAlign w:val="center"/>
          </w:tcPr>
          <w:p>
            <w:pPr>
              <w:pStyle w:val="13"/>
            </w:pPr>
            <w:r>
              <w:t>≥3场</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组织300人以上阅读推广活动场次</w:t>
            </w:r>
          </w:p>
        </w:tc>
        <w:tc>
          <w:tcPr>
            <w:tcW w:w="2835" w:type="dxa"/>
            <w:vAlign w:val="center"/>
          </w:tcPr>
          <w:p>
            <w:pPr>
              <w:pStyle w:val="13"/>
            </w:pPr>
            <w:r>
              <w:t>组织300人以上阅读推广活动场次</w:t>
            </w:r>
          </w:p>
        </w:tc>
        <w:tc>
          <w:tcPr>
            <w:tcW w:w="2551" w:type="dxa"/>
            <w:vAlign w:val="center"/>
          </w:tcPr>
          <w:p>
            <w:pPr>
              <w:pStyle w:val="13"/>
            </w:pPr>
            <w:r>
              <w:t>≥2场</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组织100人以上阅读推广活动场次</w:t>
            </w:r>
          </w:p>
        </w:tc>
        <w:tc>
          <w:tcPr>
            <w:tcW w:w="2835" w:type="dxa"/>
            <w:vAlign w:val="center"/>
          </w:tcPr>
          <w:p>
            <w:pPr>
              <w:pStyle w:val="13"/>
            </w:pPr>
            <w:r>
              <w:t>组织100人以上阅读推广活动场次</w:t>
            </w:r>
          </w:p>
        </w:tc>
        <w:tc>
          <w:tcPr>
            <w:tcW w:w="2551" w:type="dxa"/>
            <w:vAlign w:val="center"/>
          </w:tcPr>
          <w:p>
            <w:pPr>
              <w:pStyle w:val="13"/>
            </w:pPr>
            <w:r>
              <w:t>≥18场</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组织100人以下阅读推广活动场次</w:t>
            </w:r>
          </w:p>
        </w:tc>
        <w:tc>
          <w:tcPr>
            <w:tcW w:w="2835" w:type="dxa"/>
            <w:vAlign w:val="center"/>
          </w:tcPr>
          <w:p>
            <w:pPr>
              <w:pStyle w:val="13"/>
            </w:pPr>
            <w:r>
              <w:t>组织100人以下阅读推广活动场次</w:t>
            </w:r>
          </w:p>
        </w:tc>
        <w:tc>
          <w:tcPr>
            <w:tcW w:w="2551" w:type="dxa"/>
            <w:vAlign w:val="center"/>
          </w:tcPr>
          <w:p>
            <w:pPr>
              <w:pStyle w:val="13"/>
            </w:pPr>
            <w:r>
              <w:t>≥7场</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组织50人以下阅读推广活动场次</w:t>
            </w:r>
          </w:p>
        </w:tc>
        <w:tc>
          <w:tcPr>
            <w:tcW w:w="2835" w:type="dxa"/>
            <w:vAlign w:val="center"/>
          </w:tcPr>
          <w:p>
            <w:pPr>
              <w:pStyle w:val="13"/>
            </w:pPr>
            <w:r>
              <w:t>组织50人以下阅读推广活动场次</w:t>
            </w:r>
          </w:p>
        </w:tc>
        <w:tc>
          <w:tcPr>
            <w:tcW w:w="2551" w:type="dxa"/>
            <w:vAlign w:val="center"/>
          </w:tcPr>
          <w:p>
            <w:pPr>
              <w:pStyle w:val="13"/>
            </w:pPr>
            <w:r>
              <w:t>≥30场</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组织展览的场次</w:t>
            </w:r>
          </w:p>
        </w:tc>
        <w:tc>
          <w:tcPr>
            <w:tcW w:w="2835" w:type="dxa"/>
            <w:vAlign w:val="center"/>
          </w:tcPr>
          <w:p>
            <w:pPr>
              <w:pStyle w:val="13"/>
            </w:pPr>
            <w:r>
              <w:t>组织展览的场次</w:t>
            </w:r>
          </w:p>
        </w:tc>
        <w:tc>
          <w:tcPr>
            <w:tcW w:w="2551" w:type="dxa"/>
            <w:vAlign w:val="center"/>
          </w:tcPr>
          <w:p>
            <w:pPr>
              <w:pStyle w:val="13"/>
            </w:pPr>
            <w:r>
              <w:t>≥10场</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组织特殊人群阅读场次</w:t>
            </w:r>
          </w:p>
        </w:tc>
        <w:tc>
          <w:tcPr>
            <w:tcW w:w="2835" w:type="dxa"/>
            <w:vAlign w:val="center"/>
          </w:tcPr>
          <w:p>
            <w:pPr>
              <w:pStyle w:val="13"/>
            </w:pPr>
            <w:r>
              <w:t>组织特殊人群阅读场次</w:t>
            </w:r>
          </w:p>
        </w:tc>
        <w:tc>
          <w:tcPr>
            <w:tcW w:w="2551" w:type="dxa"/>
            <w:vAlign w:val="center"/>
          </w:tcPr>
          <w:p>
            <w:pPr>
              <w:pStyle w:val="13"/>
            </w:pPr>
            <w:r>
              <w:t>≥15场</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数量指标</w:t>
            </w:r>
          </w:p>
        </w:tc>
        <w:tc>
          <w:tcPr>
            <w:tcW w:w="2835" w:type="dxa"/>
            <w:vAlign w:val="center"/>
          </w:tcPr>
          <w:p>
            <w:pPr>
              <w:pStyle w:val="13"/>
            </w:pPr>
            <w:r>
              <w:t>组织媒体宣传次数</w:t>
            </w:r>
          </w:p>
        </w:tc>
        <w:tc>
          <w:tcPr>
            <w:tcW w:w="2835" w:type="dxa"/>
            <w:vAlign w:val="center"/>
          </w:tcPr>
          <w:p>
            <w:pPr>
              <w:pStyle w:val="13"/>
            </w:pPr>
            <w:r>
              <w:t>组织媒体宣传次数</w:t>
            </w:r>
          </w:p>
        </w:tc>
        <w:tc>
          <w:tcPr>
            <w:tcW w:w="2551" w:type="dxa"/>
            <w:vAlign w:val="center"/>
          </w:tcPr>
          <w:p>
            <w:pPr>
              <w:pStyle w:val="13"/>
            </w:pPr>
            <w:r>
              <w:t>≥15次</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完成图书馆二级馆定级</w:t>
            </w:r>
          </w:p>
        </w:tc>
        <w:tc>
          <w:tcPr>
            <w:tcW w:w="2835" w:type="dxa"/>
            <w:vAlign w:val="center"/>
          </w:tcPr>
          <w:p>
            <w:pPr>
              <w:pStyle w:val="13"/>
            </w:pPr>
            <w:r>
              <w:t>完成图书馆二级馆定级</w:t>
            </w:r>
          </w:p>
        </w:tc>
        <w:tc>
          <w:tcPr>
            <w:tcW w:w="2551" w:type="dxa"/>
            <w:vAlign w:val="center"/>
          </w:tcPr>
          <w:p>
            <w:pPr>
              <w:pStyle w:val="13"/>
            </w:pPr>
            <w:r>
              <w:t>完成</w:t>
            </w:r>
          </w:p>
        </w:tc>
        <w:tc>
          <w:tcPr>
            <w:tcW w:w="2268" w:type="dxa"/>
            <w:vAlign w:val="center"/>
          </w:tcPr>
          <w:p>
            <w:pPr>
              <w:pStyle w:val="13"/>
            </w:pPr>
            <w:r>
              <w:t>国家2017年中部地区县级图书馆二级馆评估标准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质量指标</w:t>
            </w:r>
          </w:p>
        </w:tc>
        <w:tc>
          <w:tcPr>
            <w:tcW w:w="2835" w:type="dxa"/>
            <w:vAlign w:val="center"/>
          </w:tcPr>
          <w:p>
            <w:pPr>
              <w:pStyle w:val="13"/>
            </w:pPr>
            <w:r>
              <w:t>不同人次要求的阅读推广活动达标率</w:t>
            </w:r>
          </w:p>
        </w:tc>
        <w:tc>
          <w:tcPr>
            <w:tcW w:w="2835" w:type="dxa"/>
            <w:vAlign w:val="center"/>
          </w:tcPr>
          <w:p>
            <w:pPr>
              <w:pStyle w:val="13"/>
            </w:pPr>
            <w:r>
              <w:t>不同人次要求的阅读推广活动达标率</w:t>
            </w:r>
          </w:p>
        </w:tc>
        <w:tc>
          <w:tcPr>
            <w:tcW w:w="2551" w:type="dxa"/>
            <w:vAlign w:val="center"/>
          </w:tcPr>
          <w:p>
            <w:pPr>
              <w:pStyle w:val="13"/>
            </w:pPr>
            <w:r>
              <w:t>100%</w:t>
            </w:r>
          </w:p>
        </w:tc>
        <w:tc>
          <w:tcPr>
            <w:tcW w:w="2268" w:type="dxa"/>
            <w:vAlign w:val="center"/>
          </w:tcPr>
          <w:p>
            <w:pPr>
              <w:pStyle w:val="13"/>
            </w:pPr>
            <w:r>
              <w:t>不同阅读人数推广活动签到表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完成阅读推广活动的时间</w:t>
            </w:r>
          </w:p>
        </w:tc>
        <w:tc>
          <w:tcPr>
            <w:tcW w:w="2835" w:type="dxa"/>
            <w:vAlign w:val="center"/>
          </w:tcPr>
          <w:p>
            <w:pPr>
              <w:pStyle w:val="13"/>
            </w:pPr>
            <w:r>
              <w:t>完成阅读推广活动的时间</w:t>
            </w:r>
          </w:p>
        </w:tc>
        <w:tc>
          <w:tcPr>
            <w:tcW w:w="2551" w:type="dxa"/>
            <w:vAlign w:val="center"/>
          </w:tcPr>
          <w:p>
            <w:pPr>
              <w:pStyle w:val="13"/>
            </w:pPr>
            <w:r>
              <w:t>≦12月份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完成展览活动的时间</w:t>
            </w:r>
          </w:p>
        </w:tc>
        <w:tc>
          <w:tcPr>
            <w:tcW w:w="2835" w:type="dxa"/>
            <w:vAlign w:val="center"/>
          </w:tcPr>
          <w:p>
            <w:pPr>
              <w:pStyle w:val="13"/>
            </w:pPr>
            <w:r>
              <w:t>完成展览活动的时间</w:t>
            </w:r>
          </w:p>
        </w:tc>
        <w:tc>
          <w:tcPr>
            <w:tcW w:w="2551" w:type="dxa"/>
            <w:vAlign w:val="center"/>
          </w:tcPr>
          <w:p>
            <w:pPr>
              <w:pStyle w:val="13"/>
            </w:pPr>
            <w:r>
              <w:t>≦12月份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完成组织特殊人群阅读活动的时间</w:t>
            </w:r>
          </w:p>
        </w:tc>
        <w:tc>
          <w:tcPr>
            <w:tcW w:w="2835" w:type="dxa"/>
            <w:vAlign w:val="center"/>
          </w:tcPr>
          <w:p>
            <w:pPr>
              <w:pStyle w:val="13"/>
            </w:pPr>
            <w:r>
              <w:t>完成组织特殊人群阅读活动的时间</w:t>
            </w:r>
          </w:p>
        </w:tc>
        <w:tc>
          <w:tcPr>
            <w:tcW w:w="2551" w:type="dxa"/>
            <w:vAlign w:val="center"/>
          </w:tcPr>
          <w:p>
            <w:pPr>
              <w:pStyle w:val="13"/>
            </w:pPr>
            <w:r>
              <w:t>≦12月份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时效指标</w:t>
            </w:r>
          </w:p>
        </w:tc>
        <w:tc>
          <w:tcPr>
            <w:tcW w:w="2835" w:type="dxa"/>
            <w:vAlign w:val="center"/>
          </w:tcPr>
          <w:p>
            <w:pPr>
              <w:pStyle w:val="13"/>
            </w:pPr>
            <w:r>
              <w:t>完成组织媒体宣传活动的时间</w:t>
            </w:r>
          </w:p>
        </w:tc>
        <w:tc>
          <w:tcPr>
            <w:tcW w:w="2835" w:type="dxa"/>
            <w:vAlign w:val="center"/>
          </w:tcPr>
          <w:p>
            <w:pPr>
              <w:pStyle w:val="13"/>
            </w:pPr>
            <w:r>
              <w:t>完成组织媒体宣传活动的时间</w:t>
            </w:r>
          </w:p>
        </w:tc>
        <w:tc>
          <w:tcPr>
            <w:tcW w:w="2551" w:type="dxa"/>
            <w:vAlign w:val="center"/>
          </w:tcPr>
          <w:p>
            <w:pPr>
              <w:pStyle w:val="13"/>
            </w:pPr>
            <w:r>
              <w:t>≦12月份</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成本指标</w:t>
            </w:r>
          </w:p>
        </w:tc>
        <w:tc>
          <w:tcPr>
            <w:tcW w:w="2835" w:type="dxa"/>
            <w:vAlign w:val="center"/>
          </w:tcPr>
          <w:p>
            <w:pPr>
              <w:pStyle w:val="13"/>
            </w:pPr>
            <w:r>
              <w:t>预算控制数</w:t>
            </w:r>
          </w:p>
        </w:tc>
        <w:tc>
          <w:tcPr>
            <w:tcW w:w="2835" w:type="dxa"/>
            <w:vAlign w:val="center"/>
          </w:tcPr>
          <w:p>
            <w:pPr>
              <w:pStyle w:val="13"/>
            </w:pPr>
            <w:r>
              <w:t>实际支出成本与计划支出成本的情况</w:t>
            </w:r>
          </w:p>
        </w:tc>
        <w:tc>
          <w:tcPr>
            <w:tcW w:w="2551" w:type="dxa"/>
            <w:vAlign w:val="center"/>
          </w:tcPr>
          <w:p>
            <w:pPr>
              <w:pStyle w:val="13"/>
            </w:pPr>
            <w:r>
              <w:t>≦10万元</w:t>
            </w:r>
          </w:p>
        </w:tc>
        <w:tc>
          <w:tcPr>
            <w:tcW w:w="2268" w:type="dxa"/>
            <w:vAlign w:val="center"/>
          </w:tcPr>
          <w:p>
            <w:pPr>
              <w:pStyle w:val="13"/>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4"/>
            </w:pPr>
            <w:r>
              <w:t>效益指标</w:t>
            </w:r>
          </w:p>
        </w:tc>
        <w:tc>
          <w:tcPr>
            <w:tcW w:w="2268" w:type="dxa"/>
            <w:vAlign w:val="center"/>
          </w:tcPr>
          <w:p>
            <w:pPr>
              <w:pStyle w:val="13"/>
            </w:pPr>
            <w:r>
              <w:t>社会效益指标</w:t>
            </w:r>
          </w:p>
        </w:tc>
        <w:tc>
          <w:tcPr>
            <w:tcW w:w="2835" w:type="dxa"/>
            <w:vAlign w:val="center"/>
          </w:tcPr>
          <w:p>
            <w:pPr>
              <w:pStyle w:val="13"/>
            </w:pPr>
            <w:r>
              <w:t>阅读推广活动覆盖人数</w:t>
            </w:r>
          </w:p>
        </w:tc>
        <w:tc>
          <w:tcPr>
            <w:tcW w:w="2835" w:type="dxa"/>
            <w:vAlign w:val="center"/>
          </w:tcPr>
          <w:p>
            <w:pPr>
              <w:pStyle w:val="13"/>
            </w:pPr>
            <w:r>
              <w:t>阅读推广活动覆盖人数</w:t>
            </w:r>
          </w:p>
        </w:tc>
        <w:tc>
          <w:tcPr>
            <w:tcW w:w="2551" w:type="dxa"/>
            <w:vAlign w:val="center"/>
          </w:tcPr>
          <w:p>
            <w:pPr>
              <w:pStyle w:val="13"/>
            </w:pPr>
            <w:r>
              <w:t>≥6000人</w:t>
            </w:r>
          </w:p>
        </w:tc>
        <w:tc>
          <w:tcPr>
            <w:tcW w:w="2268" w:type="dxa"/>
            <w:vAlign w:val="center"/>
          </w:tcPr>
          <w:p>
            <w:pPr>
              <w:pStyle w:val="13"/>
            </w:pPr>
            <w:r>
              <w:t>签到表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3"/>
            </w:pPr>
            <w:r>
              <w:t>可持续影响指标</w:t>
            </w:r>
          </w:p>
        </w:tc>
        <w:tc>
          <w:tcPr>
            <w:tcW w:w="2835" w:type="dxa"/>
            <w:vAlign w:val="center"/>
          </w:tcPr>
          <w:p>
            <w:pPr>
              <w:pStyle w:val="13"/>
            </w:pPr>
            <w:r>
              <w:t>阅读推广活动期限</w:t>
            </w:r>
          </w:p>
        </w:tc>
        <w:tc>
          <w:tcPr>
            <w:tcW w:w="2835" w:type="dxa"/>
            <w:vAlign w:val="center"/>
          </w:tcPr>
          <w:p>
            <w:pPr>
              <w:pStyle w:val="13"/>
            </w:pPr>
            <w:r>
              <w:t>阅读推广活动期限</w:t>
            </w:r>
          </w:p>
        </w:tc>
        <w:tc>
          <w:tcPr>
            <w:tcW w:w="2551" w:type="dxa"/>
            <w:vAlign w:val="center"/>
          </w:tcPr>
          <w:p>
            <w:pPr>
              <w:pStyle w:val="13"/>
            </w:pPr>
            <w:r>
              <w:t>1年</w:t>
            </w:r>
          </w:p>
        </w:tc>
        <w:tc>
          <w:tcPr>
            <w:tcW w:w="2268" w:type="dxa"/>
            <w:vAlign w:val="center"/>
          </w:tcPr>
          <w:p>
            <w:pPr>
              <w:pStyle w:val="13"/>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4"/>
            </w:pPr>
            <w:r>
              <w:t>满意度指标</w:t>
            </w:r>
          </w:p>
        </w:tc>
        <w:tc>
          <w:tcPr>
            <w:tcW w:w="2268" w:type="dxa"/>
            <w:vAlign w:val="center"/>
          </w:tcPr>
          <w:p>
            <w:pPr>
              <w:pStyle w:val="13"/>
            </w:pPr>
            <w:r>
              <w:t>服务对象满意度指标</w:t>
            </w:r>
          </w:p>
        </w:tc>
        <w:tc>
          <w:tcPr>
            <w:tcW w:w="2835" w:type="dxa"/>
            <w:vAlign w:val="center"/>
          </w:tcPr>
          <w:p>
            <w:pPr>
              <w:pStyle w:val="13"/>
            </w:pPr>
            <w:r>
              <w:t>活动参加者满意度</w:t>
            </w:r>
          </w:p>
        </w:tc>
        <w:tc>
          <w:tcPr>
            <w:tcW w:w="2835" w:type="dxa"/>
            <w:vAlign w:val="center"/>
          </w:tcPr>
          <w:p>
            <w:pPr>
              <w:pStyle w:val="13"/>
            </w:pPr>
            <w:r>
              <w:t>活动参加者满意度</w:t>
            </w:r>
          </w:p>
        </w:tc>
        <w:tc>
          <w:tcPr>
            <w:tcW w:w="2551" w:type="dxa"/>
            <w:vAlign w:val="center"/>
          </w:tcPr>
          <w:p>
            <w:pPr>
              <w:pStyle w:val="13"/>
            </w:pPr>
            <w:r>
              <w:t>≥90%</w:t>
            </w:r>
          </w:p>
        </w:tc>
        <w:tc>
          <w:tcPr>
            <w:tcW w:w="2268" w:type="dxa"/>
            <w:vAlign w:val="center"/>
          </w:tcPr>
          <w:p>
            <w:pPr>
              <w:pStyle w:val="13"/>
            </w:pPr>
            <w:r>
              <w:t>问卷调查</w:t>
            </w:r>
          </w:p>
        </w:tc>
      </w:tr>
    </w:tbl>
    <w:p>
      <w:pPr>
        <w:autoSpaceDE w:val="0"/>
        <w:autoSpaceDN w:val="0"/>
        <w:adjustRightInd w:val="0"/>
        <w:spacing w:line="584" w:lineRule="exact"/>
        <w:ind w:firstLine="880" w:firstLineChars="200"/>
        <w:jc w:val="left"/>
        <w:rPr>
          <w:rFonts w:ascii="Times New Roman" w:hAnsi="Times New Roman" w:eastAsia="黑体" w:cs="Times New Roman"/>
          <w:sz w:val="44"/>
          <w:szCs w:val="44"/>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仿宋" w:hAnsi="仿宋" w:eastAsia="仿宋" w:cs="Times New Roman"/>
          <w:sz w:val="32"/>
          <w:szCs w:val="24"/>
        </w:rPr>
      </w:pPr>
      <w:bookmarkStart w:id="0" w:name="_Toc471398468"/>
      <w:r>
        <w:rPr>
          <w:rFonts w:ascii="仿宋" w:hAnsi="仿宋" w:eastAsia="仿宋" w:cs="Times New Roman"/>
          <w:sz w:val="32"/>
          <w:szCs w:val="24"/>
        </w:rPr>
        <w:t>20</w:t>
      </w:r>
      <w:r>
        <w:rPr>
          <w:rFonts w:hint="eastAsia" w:ascii="仿宋" w:hAnsi="仿宋" w:eastAsia="仿宋" w:cs="Times New Roman"/>
          <w:sz w:val="32"/>
          <w:szCs w:val="24"/>
        </w:rPr>
        <w:t>22</w:t>
      </w:r>
      <w:r>
        <w:rPr>
          <w:rFonts w:ascii="仿宋" w:hAnsi="仿宋" w:eastAsia="仿宋" w:cs="Times New Roman"/>
          <w:sz w:val="32"/>
          <w:szCs w:val="24"/>
        </w:rPr>
        <w:t>年，我部门安排政府采购预算</w:t>
      </w:r>
      <w:r>
        <w:rPr>
          <w:rFonts w:hint="eastAsia" w:ascii="仿宋" w:hAnsi="仿宋" w:eastAsia="仿宋" w:cs="Times New Roman"/>
          <w:sz w:val="32"/>
          <w:szCs w:val="24"/>
          <w:lang w:val="en-US" w:eastAsia="zh-CN"/>
        </w:rPr>
        <w:t>0</w:t>
      </w:r>
      <w:r>
        <w:rPr>
          <w:rFonts w:ascii="仿宋" w:hAnsi="仿宋" w:eastAsia="仿宋" w:cs="Times New Roman"/>
          <w:sz w:val="32"/>
          <w:szCs w:val="24"/>
        </w:rPr>
        <w:t>万元。具体内容见下表。</w:t>
      </w:r>
    </w:p>
    <w:bookmarkEnd w:id="0"/>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1" w:name="_Toc64920910"/>
      <w:r>
        <w:rPr>
          <w:rFonts w:hint="eastAsia" w:ascii="方正小标宋_GBK" w:eastAsia="方正小标宋_GBK" w:cs="Times New Roman"/>
          <w:sz w:val="32"/>
        </w:rPr>
        <w:t>部门政府采购预算</w:t>
      </w:r>
      <w:bookmarkEnd w:id="1"/>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eastAsia" w:ascii="方正小标宋_GBK" w:eastAsia="方正小标宋_GBK" w:cs="Times New Roman"/>
                <w:sz w:val="24"/>
                <w:lang w:eastAsia="zh-CN"/>
              </w:rPr>
            </w:pPr>
            <w:r>
              <w:rPr>
                <w:rFonts w:hint="eastAsia" w:ascii="方正小标宋_GBK" w:eastAsia="方正小标宋_GBK" w:cs="Times New Roman"/>
                <w:sz w:val="24"/>
                <w:lang w:eastAsia="zh-CN"/>
              </w:rPr>
              <w:t>廊坊市</w:t>
            </w:r>
            <w:r>
              <w:rPr>
                <w:rFonts w:hint="eastAsia" w:ascii="方正小标宋_GBK" w:eastAsia="方正小标宋_GBK" w:cs="Times New Roman"/>
                <w:sz w:val="24"/>
              </w:rPr>
              <w:t>大厂回族自治县</w:t>
            </w:r>
            <w:r>
              <w:rPr>
                <w:rFonts w:hint="eastAsia" w:ascii="方正小标宋_GBK" w:eastAsia="方正小标宋_GBK"/>
                <w:sz w:val="24"/>
                <w:lang w:eastAsia="zh-CN"/>
              </w:rPr>
              <w:t>图书馆</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hint="eastAsia" w:ascii="方正书宋_GBK" w:eastAsia="方正书宋_GBK" w:cs="Times New Roman"/>
                <w:lang w:eastAsia="zh-CN"/>
              </w:rPr>
            </w:pPr>
            <w:r>
              <w:rPr>
                <w:rFonts w:hint="eastAsia" w:ascii="方正书宋_GBK" w:eastAsia="方正书宋_GBK" w:cs="Times New Roman"/>
                <w:b/>
                <w:bCs/>
                <w:color w:val="000000" w:themeColor="text1"/>
                <w:lang w:eastAsia="zh-CN"/>
              </w:rPr>
              <w:t>空表列示</w:t>
            </w: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spacing w:line="584" w:lineRule="exact"/>
        <w:jc w:val="left"/>
        <w:outlineLvl w:val="0"/>
        <w:rPr>
          <w:rFonts w:hint="eastAsia" w:ascii="Times New Roman" w:hAnsi="Times New Roman" w:eastAsia="仿宋_GB2312" w:cs="Times New Roman"/>
        </w:rPr>
      </w:pPr>
      <w:r>
        <w:rPr>
          <w:rFonts w:hint="eastAsia" w:ascii="Times New Roman" w:hAnsi="Times New Roman" w:eastAsia="仿宋_GB2312" w:cs="Times New Roman"/>
        </w:rPr>
        <w:t>注:同一采购目录序号的物品,其单价会因配置规格不同而变动,均符合配置标准.涉密采购事项按照相关规定执行.</w:t>
      </w:r>
    </w:p>
    <w:p>
      <w:r>
        <w:rPr>
          <w:rFonts w:ascii="方正书宋_GBK" w:hAnsi="方正书宋_GBK" w:eastAsia="方正书宋_GBK" w:cs="方正书宋_GBK"/>
          <w:color w:val="000000"/>
          <w:sz w:val="21"/>
        </w:rPr>
        <w:t>注：无政府采购预算，空表列示。</w:t>
      </w:r>
    </w:p>
    <w:p>
      <w:pPr>
        <w:spacing w:line="584" w:lineRule="exact"/>
        <w:jc w:val="left"/>
        <w:outlineLvl w:val="0"/>
        <w:rPr>
          <w:rFonts w:hint="eastAsia"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仿宋" w:hAnsi="仿宋" w:eastAsia="仿宋" w:cs="Times New Roman"/>
          <w:sz w:val="32"/>
          <w:szCs w:val="32"/>
        </w:rPr>
      </w:pPr>
      <w:r>
        <w:rPr>
          <w:rFonts w:hint="eastAsia" w:ascii="仿宋" w:hAnsi="仿宋" w:eastAsia="仿宋" w:cs="Times New Roman"/>
          <w:sz w:val="32"/>
          <w:szCs w:val="32"/>
        </w:rPr>
        <w:t>大厂回族自治县</w:t>
      </w:r>
      <w:r>
        <w:rPr>
          <w:rFonts w:hint="eastAsia" w:ascii="仿宋" w:hAnsi="仿宋" w:eastAsia="仿宋" w:cs="Times New Roman"/>
          <w:sz w:val="32"/>
          <w:szCs w:val="32"/>
          <w:lang w:eastAsia="zh-CN"/>
        </w:rPr>
        <w:t>图书馆</w:t>
      </w:r>
      <w:r>
        <w:rPr>
          <w:rFonts w:ascii="仿宋" w:hAnsi="仿宋" w:eastAsia="仿宋" w:cs="Times New Roman"/>
          <w:sz w:val="32"/>
          <w:szCs w:val="32"/>
        </w:rPr>
        <w:t>（含所属单位）上年末固定资产金额为</w:t>
      </w:r>
      <w:r>
        <w:rPr>
          <w:rFonts w:hint="eastAsia" w:ascii="仿宋" w:hAnsi="仿宋" w:eastAsia="仿宋" w:cs="Times New Roman"/>
          <w:sz w:val="32"/>
          <w:szCs w:val="32"/>
          <w:lang w:val="en-US" w:eastAsia="zh-CN"/>
        </w:rPr>
        <w:t>613.43</w:t>
      </w:r>
      <w:r>
        <w:rPr>
          <w:rFonts w:ascii="仿宋" w:hAnsi="仿宋" w:eastAsia="仿宋" w:cs="Times New Roman"/>
          <w:sz w:val="32"/>
          <w:szCs w:val="32"/>
        </w:rPr>
        <w:t>万元</w:t>
      </w:r>
      <w:r>
        <w:rPr>
          <w:rFonts w:hint="eastAsia" w:ascii="仿宋" w:hAnsi="仿宋" w:eastAsia="仿宋" w:cs="Times New Roman"/>
          <w:sz w:val="32"/>
          <w:szCs w:val="32"/>
        </w:rPr>
        <w:t>（详见下表）</w:t>
      </w:r>
      <w:r>
        <w:rPr>
          <w:rFonts w:ascii="仿宋" w:hAnsi="仿宋" w:eastAsia="仿宋" w:cs="Times New Roman"/>
          <w:sz w:val="32"/>
          <w:szCs w:val="32"/>
        </w:rPr>
        <w:t>，本年度我部门拟购置固定资产</w:t>
      </w:r>
      <w:r>
        <w:rPr>
          <w:rFonts w:hint="eastAsia" w:ascii="仿宋" w:hAnsi="仿宋" w:eastAsia="仿宋" w:cs="Times New Roman"/>
          <w:sz w:val="32"/>
          <w:szCs w:val="32"/>
        </w:rPr>
        <w:t>总额为</w:t>
      </w:r>
      <w:r>
        <w:rPr>
          <w:rFonts w:hint="eastAsia" w:ascii="仿宋" w:hAnsi="仿宋" w:eastAsia="仿宋" w:cs="Times New Roman"/>
          <w:sz w:val="32"/>
          <w:szCs w:val="32"/>
          <w:lang w:val="en-US" w:eastAsia="zh-CN"/>
        </w:rPr>
        <w:t>0</w:t>
      </w:r>
      <w:r>
        <w:rPr>
          <w:rFonts w:hint="eastAsia" w:ascii="仿宋" w:hAnsi="仿宋" w:eastAsia="仿宋" w:cs="Times New Roman"/>
          <w:sz w:val="32"/>
          <w:szCs w:val="32"/>
        </w:rPr>
        <w:t>万元</w:t>
      </w:r>
      <w:r>
        <w:rPr>
          <w:rFonts w:ascii="仿宋" w:hAnsi="仿宋" w:eastAsia="仿宋"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仿宋" w:hAnsi="仿宋" w:eastAsia="仿宋" w:cs="Times New Roman"/>
                <w:b/>
                <w:bCs/>
                <w:kern w:val="0"/>
                <w:sz w:val="32"/>
                <w:szCs w:val="32"/>
              </w:rPr>
            </w:pPr>
            <w:r>
              <w:rPr>
                <w:rFonts w:hint="eastAsia" w:ascii="仿宋" w:hAnsi="仿宋" w:eastAsia="仿宋" w:cs="Times New Roman"/>
                <w:b/>
                <w:bCs/>
                <w:kern w:val="0"/>
                <w:sz w:val="32"/>
                <w:szCs w:val="32"/>
              </w:rPr>
              <w:t>大厂回族自治县县</w:t>
            </w:r>
            <w:r>
              <w:rPr>
                <w:rFonts w:ascii="仿宋" w:hAnsi="仿宋" w:eastAsia="仿宋" w:cs="Times New Roman"/>
                <w:b/>
                <w:bCs/>
                <w:kern w:val="0"/>
                <w:sz w:val="32"/>
                <w:szCs w:val="32"/>
              </w:rPr>
              <w:t>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rPr>
              <w:t>大厂回族自治县</w:t>
            </w:r>
            <w:r>
              <w:rPr>
                <w:rFonts w:hint="eastAsia" w:ascii="Times New Roman" w:hAnsi="Times New Roman" w:eastAsia="仿宋_GB2312" w:cs="Times New Roman"/>
                <w:kern w:val="0"/>
                <w:sz w:val="22"/>
                <w:lang w:eastAsia="zh-CN"/>
              </w:rPr>
              <w:t>图书馆</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eastAsia="zh-CN"/>
              </w:rPr>
            </w:pPr>
            <w:r>
              <w:rPr>
                <w:rFonts w:hint="eastAsia" w:ascii="Times New Roman" w:hAnsi="Times New Roman" w:eastAsia="仿宋_GB2312" w:cs="Times New Roman"/>
                <w:b/>
                <w:bCs/>
                <w:sz w:val="22"/>
                <w:lang w:eastAsia="zh-CN"/>
              </w:rPr>
              <w:t>空表列示</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bl>
    <w:p>
      <w:pPr>
        <w:ind w:firstLine="420"/>
      </w:pPr>
      <w:r>
        <w:rPr>
          <w:rFonts w:ascii="方正书宋_GBK" w:hAnsi="方正书宋_GBK" w:eastAsia="方正书宋_GBK" w:cs="方正书宋_GBK"/>
          <w:color w:val="000000"/>
          <w:sz w:val="21"/>
        </w:rPr>
        <w:t>注：无固定资产占用情况，空表列示。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1、一般公共预算拨款收入：</w:t>
      </w:r>
      <w:r>
        <w:rPr>
          <w:rFonts w:ascii="仿宋" w:hAnsi="仿宋" w:eastAsia="仿宋" w:cs="Times New Roman"/>
          <w:sz w:val="32"/>
          <w:szCs w:val="32"/>
        </w:rPr>
        <w:t>指省级财政当年拨付的资金。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2、事业收入：</w:t>
      </w:r>
      <w:r>
        <w:rPr>
          <w:rFonts w:ascii="仿宋" w:hAnsi="仿宋" w:eastAsia="仿宋" w:cs="Times New Roman"/>
          <w:sz w:val="32"/>
          <w:szCs w:val="32"/>
        </w:rPr>
        <w:t>指事业单位开展专业业务活动及辅助活动所取得的收入。</w:t>
      </w:r>
    </w:p>
    <w:p>
      <w:pPr>
        <w:tabs>
          <w:tab w:val="left" w:pos="11490"/>
        </w:tabs>
        <w:spacing w:line="584" w:lineRule="exact"/>
        <w:ind w:firstLine="643" w:firstLineChars="200"/>
        <w:rPr>
          <w:rFonts w:ascii="仿宋" w:hAnsi="仿宋" w:eastAsia="仿宋" w:cs="Times New Roman"/>
          <w:b/>
          <w:sz w:val="32"/>
          <w:szCs w:val="32"/>
        </w:rPr>
      </w:pPr>
      <w:r>
        <w:rPr>
          <w:rFonts w:ascii="仿宋" w:hAnsi="仿宋" w:eastAsia="仿宋" w:cs="Times New Roman"/>
          <w:b/>
          <w:sz w:val="32"/>
          <w:szCs w:val="32"/>
        </w:rPr>
        <w:t>3、其他收入：</w:t>
      </w:r>
      <w:r>
        <w:rPr>
          <w:rFonts w:ascii="仿宋" w:hAnsi="仿宋" w:eastAsia="仿宋"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4、基本支出：</w:t>
      </w:r>
      <w:r>
        <w:rPr>
          <w:rFonts w:ascii="仿宋" w:hAnsi="仿宋" w:eastAsia="仿宋"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5、项目支出：</w:t>
      </w:r>
      <w:r>
        <w:rPr>
          <w:rFonts w:ascii="仿宋" w:hAnsi="仿宋" w:eastAsia="仿宋"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6、上缴上级支出：</w:t>
      </w:r>
      <w:r>
        <w:rPr>
          <w:rFonts w:ascii="仿宋" w:hAnsi="仿宋" w:eastAsia="仿宋" w:cs="Times New Roman"/>
          <w:sz w:val="32"/>
          <w:szCs w:val="32"/>
        </w:rPr>
        <w:t>指下级单位上缴上级的支出。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7、“三公”经费：</w:t>
      </w:r>
      <w:r>
        <w:rPr>
          <w:rFonts w:ascii="仿宋" w:hAnsi="仿宋" w:eastAsia="仿宋"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8、机关运行费：</w:t>
      </w:r>
      <w:r>
        <w:rPr>
          <w:rFonts w:ascii="仿宋" w:hAnsi="仿宋" w:eastAsia="仿宋"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9、上年结转：</w:t>
      </w:r>
      <w:r>
        <w:rPr>
          <w:rFonts w:ascii="仿宋" w:hAnsi="仿宋" w:eastAsia="仿宋" w:cs="Times New Roman"/>
          <w:sz w:val="32"/>
          <w:szCs w:val="32"/>
        </w:rPr>
        <w:t>指以前年度尚未完成、结转到本年仍按原规定用途继续使用的资金。</w:t>
      </w:r>
    </w:p>
    <w:p>
      <w:pPr>
        <w:tabs>
          <w:tab w:val="left" w:pos="11490"/>
        </w:tabs>
        <w:spacing w:line="584" w:lineRule="exact"/>
        <w:ind w:firstLine="643" w:firstLineChars="200"/>
        <w:rPr>
          <w:rFonts w:ascii="仿宋" w:hAnsi="仿宋" w:eastAsia="仿宋" w:cs="Times New Roman"/>
          <w:sz w:val="32"/>
          <w:szCs w:val="32"/>
        </w:rPr>
      </w:pPr>
      <w:r>
        <w:rPr>
          <w:rFonts w:ascii="仿宋" w:hAnsi="仿宋" w:eastAsia="仿宋" w:cs="Times New Roman"/>
          <w:b/>
          <w:sz w:val="32"/>
          <w:szCs w:val="32"/>
        </w:rPr>
        <w:t>10、事业单位经营支出：</w:t>
      </w:r>
      <w:r>
        <w:rPr>
          <w:rFonts w:ascii="仿宋" w:hAnsi="仿宋" w:eastAsia="仿宋"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仿宋" w:hAnsi="仿宋" w:eastAsia="仿宋" w:cs="Times New Roman"/>
          <w:sz w:val="32"/>
          <w:szCs w:val="32"/>
        </w:rPr>
      </w:pPr>
      <w:r>
        <w:rPr>
          <w:rFonts w:ascii="仿宋" w:hAnsi="仿宋" w:eastAsia="仿宋"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roman"/>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7</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TJjMDc0ZTNjMWQ5YjJlNTY4YjRjYjhjNmZmYjY5ZWMifQ=="/>
  </w:docVars>
  <w:rsids>
    <w:rsidRoot w:val="00D347CC"/>
    <w:rsid w:val="000050DD"/>
    <w:rsid w:val="000261B2"/>
    <w:rsid w:val="000D16EE"/>
    <w:rsid w:val="001F687F"/>
    <w:rsid w:val="00262092"/>
    <w:rsid w:val="003073D9"/>
    <w:rsid w:val="003909CD"/>
    <w:rsid w:val="00391E11"/>
    <w:rsid w:val="003F44D0"/>
    <w:rsid w:val="003F732C"/>
    <w:rsid w:val="00406D17"/>
    <w:rsid w:val="00457F81"/>
    <w:rsid w:val="004A54AA"/>
    <w:rsid w:val="004E0A4F"/>
    <w:rsid w:val="00507F82"/>
    <w:rsid w:val="0053255B"/>
    <w:rsid w:val="00536CE0"/>
    <w:rsid w:val="00611D60"/>
    <w:rsid w:val="00682F94"/>
    <w:rsid w:val="00774782"/>
    <w:rsid w:val="008552EF"/>
    <w:rsid w:val="00867689"/>
    <w:rsid w:val="008F2064"/>
    <w:rsid w:val="009832FD"/>
    <w:rsid w:val="00B80935"/>
    <w:rsid w:val="00D347CC"/>
    <w:rsid w:val="00E375C8"/>
    <w:rsid w:val="00E46D39"/>
    <w:rsid w:val="00E771B9"/>
    <w:rsid w:val="00ED3546"/>
    <w:rsid w:val="00EE07AC"/>
    <w:rsid w:val="012260D0"/>
    <w:rsid w:val="02F60942"/>
    <w:rsid w:val="07250C85"/>
    <w:rsid w:val="074F102F"/>
    <w:rsid w:val="07E56703"/>
    <w:rsid w:val="0B217529"/>
    <w:rsid w:val="0B9A008C"/>
    <w:rsid w:val="108F73B7"/>
    <w:rsid w:val="121F643D"/>
    <w:rsid w:val="12D83639"/>
    <w:rsid w:val="141F4660"/>
    <w:rsid w:val="17105A93"/>
    <w:rsid w:val="17BC0F61"/>
    <w:rsid w:val="1CF70A8B"/>
    <w:rsid w:val="1E040CB5"/>
    <w:rsid w:val="20381912"/>
    <w:rsid w:val="22114103"/>
    <w:rsid w:val="23130350"/>
    <w:rsid w:val="23CD6F22"/>
    <w:rsid w:val="28A570A1"/>
    <w:rsid w:val="2905130D"/>
    <w:rsid w:val="29C1131D"/>
    <w:rsid w:val="2C2431F2"/>
    <w:rsid w:val="3089613F"/>
    <w:rsid w:val="30E47119"/>
    <w:rsid w:val="3191483A"/>
    <w:rsid w:val="34C15B57"/>
    <w:rsid w:val="36096A26"/>
    <w:rsid w:val="385156E8"/>
    <w:rsid w:val="3AFB5FC1"/>
    <w:rsid w:val="3FC2462B"/>
    <w:rsid w:val="40A971E7"/>
    <w:rsid w:val="448751A8"/>
    <w:rsid w:val="46E0348A"/>
    <w:rsid w:val="486E7A2D"/>
    <w:rsid w:val="4CB71D7E"/>
    <w:rsid w:val="4EE87BF6"/>
    <w:rsid w:val="4F952E4B"/>
    <w:rsid w:val="4F9F5835"/>
    <w:rsid w:val="5047192E"/>
    <w:rsid w:val="516C5418"/>
    <w:rsid w:val="51870EAC"/>
    <w:rsid w:val="52F83ABA"/>
    <w:rsid w:val="560B7C45"/>
    <w:rsid w:val="58F7709C"/>
    <w:rsid w:val="59A629C4"/>
    <w:rsid w:val="5AF60875"/>
    <w:rsid w:val="5BBD50CB"/>
    <w:rsid w:val="5C960FB8"/>
    <w:rsid w:val="604B3317"/>
    <w:rsid w:val="64E00FDF"/>
    <w:rsid w:val="69B04773"/>
    <w:rsid w:val="6BF72CB7"/>
    <w:rsid w:val="6E95398D"/>
    <w:rsid w:val="6EC00444"/>
    <w:rsid w:val="70501A13"/>
    <w:rsid w:val="710C3C19"/>
    <w:rsid w:val="717A5326"/>
    <w:rsid w:val="7B1E24A4"/>
    <w:rsid w:val="7BFC520D"/>
    <w:rsid w:val="7CCE22A5"/>
    <w:rsid w:val="7D744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autoRedefine/>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autoRedefine/>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autoRedefine/>
    <w:qFormat/>
    <w:uiPriority w:val="0"/>
    <w:rPr>
      <w:rFonts w:ascii="Times New Roman" w:hAnsi="Times New Roman" w:cs="Times New Roman"/>
      <w:szCs w:val="24"/>
    </w:rPr>
  </w:style>
  <w:style w:type="paragraph" w:styleId="6">
    <w:name w:val="footnote text"/>
    <w:basedOn w:val="1"/>
    <w:autoRedefine/>
    <w:qFormat/>
    <w:uiPriority w:val="0"/>
    <w:pPr>
      <w:snapToGrid w:val="0"/>
      <w:jc w:val="left"/>
    </w:pPr>
    <w:rPr>
      <w:rFonts w:cs="Times New Roman"/>
      <w:sz w:val="18"/>
      <w:szCs w:val="18"/>
    </w:rPr>
  </w:style>
  <w:style w:type="paragraph" w:styleId="7">
    <w:name w:val="toc 2"/>
    <w:basedOn w:val="1"/>
    <w:next w:val="1"/>
    <w:autoRedefine/>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autoRedefine/>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2"/>
    <w:basedOn w:val="1"/>
    <w:qFormat/>
    <w:uiPriority w:val="0"/>
    <w:rPr>
      <w:rFonts w:ascii="方正书宋_GBK" w:hAnsi="方正书宋_GBK" w:eastAsia="方正书宋_GBK" w:cs="方正书宋_GBK"/>
      <w:sz w:val="21"/>
    </w:rPr>
  </w:style>
  <w:style w:type="paragraph" w:customStyle="1" w:styleId="14">
    <w:name w:val="单元格样式3"/>
    <w:basedOn w:val="1"/>
    <w:qFormat/>
    <w:uiPriority w:val="0"/>
    <w:pPr>
      <w:jc w:val="center"/>
    </w:pPr>
    <w:rPr>
      <w:rFonts w:ascii="方正书宋_GBK" w:hAnsi="方正书宋_GBK" w:eastAsia="方正书宋_GBK" w:cs="方正书宋_GBK"/>
      <w:sz w:val="21"/>
    </w:rPr>
  </w:style>
  <w:style w:type="paragraph" w:customStyle="1" w:styleId="15">
    <w:name w:val="单元格样式20"/>
    <w:basedOn w:val="1"/>
    <w:qFormat/>
    <w:uiPriority w:val="0"/>
    <w:rPr>
      <w:rFonts w:ascii="方正小标宋_GBK" w:hAnsi="方正小标宋_GBK" w:eastAsia="方正小标宋_GBK" w:cs="方正小标宋_GBK"/>
    </w:rPr>
  </w:style>
  <w:style w:type="paragraph" w:customStyle="1" w:styleId="16">
    <w:name w:val="单元格样式21"/>
    <w:basedOn w:val="1"/>
    <w:qFormat/>
    <w:uiPriority w:val="0"/>
    <w:pPr>
      <w:jc w:val="center"/>
    </w:pPr>
    <w:rPr>
      <w:rFonts w:ascii="方正小标宋_GBK" w:hAnsi="方正小标宋_GBK" w:eastAsia="方正小标宋_GBK" w:cs="方正小标宋_GBK"/>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10</Pages>
  <Words>504</Words>
  <Characters>2873</Characters>
  <Lines>23</Lines>
  <Paragraphs>6</Paragraphs>
  <TotalTime>5</TotalTime>
  <ScaleCrop>false</ScaleCrop>
  <LinksUpToDate>false</LinksUpToDate>
  <CharactersWithSpaces>3371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赶考</cp:lastModifiedBy>
  <cp:lastPrinted>2018-01-30T06:12:00Z</cp:lastPrinted>
  <dcterms:modified xsi:type="dcterms:W3CDTF">2024-01-23T01:09:47Z</dcterms:modified>
  <cp:revision>92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AF890A0E0293475BBBC73F4E3CC158B0_12</vt:lpwstr>
  </property>
</Properties>
</file>